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28"/>
          <w:szCs w:val="28"/>
        </w:rPr>
      </w:pPr>
      <w:r>
        <w:rPr>
          <w:rFonts w:cs="Times New Roman" w:ascii="Times New Roman" w:hAnsi="Times New Roman"/>
        </w:rPr>
        <w:tab/>
        <w:tab/>
        <w:tab/>
        <w:tab/>
        <w:tab/>
        <w:tab/>
        <w:tab/>
      </w:r>
      <w:r>
        <w:rPr>
          <w:rFonts w:cs="Times New Roman" w:ascii="Times New Roman" w:hAnsi="Times New Roman"/>
          <w:sz w:val="24"/>
          <w:szCs w:val="24"/>
        </w:rPr>
        <w:tab/>
      </w:r>
      <w:r>
        <w:rPr>
          <w:rFonts w:cs="Times New Roman" w:ascii="Times New Roman" w:hAnsi="Times New Roman"/>
          <w:sz w:val="28"/>
          <w:szCs w:val="28"/>
        </w:rPr>
        <w:t>ЗАТВЕРДЖЕНО</w:t>
      </w:r>
    </w:p>
    <w:p>
      <w:pPr>
        <w:pStyle w:val="12"/>
        <w:ind w:left="5670" w:hanging="0"/>
        <w:jc w:val="left"/>
        <w:rPr>
          <w:sz w:val="28"/>
        </w:rPr>
      </w:pPr>
      <w:r>
        <w:rPr>
          <w:sz w:val="28"/>
          <w:szCs w:val="28"/>
        </w:rPr>
        <w:t xml:space="preserve">Розпорядження голови </w:t>
      </w:r>
      <w:r>
        <w:rPr>
          <w:sz w:val="28"/>
          <w:szCs w:val="28"/>
          <w:lang w:val="ru-RU"/>
        </w:rPr>
        <w:t xml:space="preserve">                </w:t>
      </w:r>
      <w:r>
        <w:rPr>
          <w:sz w:val="28"/>
          <w:szCs w:val="28"/>
        </w:rPr>
        <w:t xml:space="preserve"> державної адміністрації </w:t>
      </w:r>
    </w:p>
    <w:p>
      <w:pPr>
        <w:pStyle w:val="NoSpacing"/>
        <w:rPr/>
      </w:pPr>
      <w:r>
        <w:rPr>
          <w:rFonts w:cs="Times New Roman" w:ascii="Times New Roman" w:hAnsi="Times New Roman"/>
          <w:sz w:val="28"/>
          <w:szCs w:val="28"/>
        </w:rPr>
        <w:t xml:space="preserve">                                                                                 </w:t>
      </w:r>
      <w:r>
        <w:rPr>
          <w:rFonts w:cs="Times New Roman" w:ascii="Times New Roman" w:hAnsi="Times New Roman"/>
          <w:sz w:val="28"/>
          <w:szCs w:val="24"/>
          <w:u w:val="single"/>
          <w:lang w:val="uk-UA" w:eastAsia="uk-UA"/>
        </w:rPr>
        <w:t>01.08.2017</w:t>
      </w:r>
      <w:r>
        <w:rPr>
          <w:rFonts w:cs="Times New Roman" w:ascii="Times New Roman" w:hAnsi="Times New Roman"/>
          <w:sz w:val="28"/>
          <w:szCs w:val="24"/>
          <w:u w:val="single"/>
          <w:lang w:val="ru-RU" w:eastAsia="uk-UA"/>
        </w:rPr>
        <w:t xml:space="preserve"> № 212</w:t>
      </w:r>
      <w:r>
        <w:rPr>
          <w:rFonts w:cs="Times New Roman" w:ascii="Times New Roman" w:hAnsi="Times New Roman"/>
          <w:sz w:val="28"/>
          <w:szCs w:val="28"/>
        </w:rPr>
        <w:t xml:space="preserve">           </w:t>
      </w:r>
    </w:p>
    <w:p>
      <w:pPr>
        <w:pStyle w:val="NoSpacing"/>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center"/>
        <w:rPr>
          <w:rFonts w:ascii="Times New Roman" w:hAnsi="Times New Roman"/>
          <w:sz w:val="28"/>
          <w:szCs w:val="28"/>
        </w:rPr>
      </w:pPr>
      <w:r>
        <w:rPr>
          <w:rFonts w:cs="Times New Roman" w:ascii="Times New Roman" w:hAnsi="Times New Roman"/>
          <w:b/>
          <w:bCs/>
          <w:sz w:val="28"/>
          <w:szCs w:val="28"/>
        </w:rPr>
        <w:t>Інформаційна картка адміністративної послуги щодо</w:t>
      </w:r>
    </w:p>
    <w:p>
      <w:pPr>
        <w:pStyle w:val="NoSpacing"/>
        <w:jc w:val="center"/>
        <w:rPr>
          <w:rFonts w:ascii="Times New Roman" w:hAnsi="Times New Roman"/>
          <w:sz w:val="28"/>
          <w:szCs w:val="28"/>
        </w:rPr>
      </w:pPr>
      <w:r>
        <w:rPr>
          <w:rFonts w:cs="Times New Roman" w:ascii="Times New Roman" w:hAnsi="Times New Roman"/>
          <w:b/>
          <w:bCs/>
          <w:color w:val="000000"/>
          <w:sz w:val="28"/>
          <w:szCs w:val="28"/>
          <w:u w:val="none"/>
        </w:rPr>
        <w:t>державної реєстрації інших речових прав на нерухоме майно</w:t>
      </w:r>
    </w:p>
    <w:p>
      <w:pPr>
        <w:pStyle w:val="NoSpacing"/>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(назва адміністративної послуги)</w:t>
      </w:r>
    </w:p>
    <w:p>
      <w:pPr>
        <w:pStyle w:val="Normal"/>
        <w:shd w:val="clear" w:color="auto" w:fill="FFFFFF"/>
        <w:spacing w:before="0" w:after="198"/>
        <w:contextualSpacing/>
        <w:jc w:val="center"/>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t>Ужгородськ</w:t>
      </w:r>
      <w:r>
        <w:rPr>
          <w:rFonts w:cs="Times New Roman" w:ascii="Times New Roman" w:hAnsi="Times New Roman"/>
          <w:b/>
          <w:bCs/>
          <w:color w:val="000000"/>
          <w:sz w:val="28"/>
          <w:szCs w:val="28"/>
          <w:u w:val="single"/>
          <w:lang w:val="ru-RU"/>
        </w:rPr>
        <w:t>а</w:t>
      </w:r>
      <w:r>
        <w:rPr>
          <w:rFonts w:cs="Times New Roman" w:ascii="Times New Roman" w:hAnsi="Times New Roman"/>
          <w:b/>
          <w:bCs/>
          <w:color w:val="000000"/>
          <w:sz w:val="28"/>
          <w:szCs w:val="28"/>
          <w:u w:val="single"/>
        </w:rPr>
        <w:t xml:space="preserve"> районна державна адміністрація Закарпатської області</w:t>
      </w:r>
    </w:p>
    <w:tbl>
      <w:tblPr>
        <w:tblW w:w="9415" w:type="dxa"/>
        <w:jc w:val="left"/>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a0"/>
      </w:tblPr>
      <w:tblGrid>
        <w:gridCol w:w="540"/>
        <w:gridCol w:w="27"/>
        <w:gridCol w:w="2819"/>
        <w:gridCol w:w="34"/>
        <w:gridCol w:w="5995"/>
      </w:tblGrid>
      <w:tr>
        <w:trPr>
          <w:trHeight w:val="630" w:hRule="atLeast"/>
          <w:cantSplit w:val="true"/>
        </w:trPr>
        <w:tc>
          <w:tcPr>
            <w:tcW w:w="941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hd w:val="clear" w:color="auto" w:fill="FFFFFF"/>
              <w:spacing w:before="0" w:after="200"/>
              <w:jc w:val="center"/>
              <w:rPr>
                <w:rFonts w:ascii="Times New Roman" w:hAnsi="Times New Roman"/>
                <w:sz w:val="28"/>
                <w:szCs w:val="28"/>
              </w:rPr>
            </w:pPr>
            <w:r>
              <w:rPr>
                <w:rFonts w:cs="Times New Roman" w:ascii="Times New Roman" w:hAnsi="Times New Roman"/>
                <w:b/>
                <w:sz w:val="28"/>
                <w:szCs w:val="28"/>
                <w:lang w:eastAsia="uk-UA"/>
              </w:rPr>
              <w:t>Інформація про суб’єкта надання адміністративної послуги</w:t>
            </w:r>
          </w:p>
        </w:tc>
      </w:tr>
      <w:tr>
        <w:trPr>
          <w:trHeight w:val="7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8"/>
                <w:szCs w:val="28"/>
              </w:rPr>
            </w:pPr>
            <w:r>
              <w:rPr>
                <w:rFonts w:cs="Times New Roman" w:ascii="Times New Roman" w:hAnsi="Times New Roman"/>
                <w:sz w:val="28"/>
                <w:szCs w:val="28"/>
              </w:rPr>
              <w:t>1.</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8"/>
                <w:szCs w:val="28"/>
              </w:rPr>
            </w:pPr>
            <w:r>
              <w:rPr>
                <w:rFonts w:cs="Times New Roman" w:ascii="Times New Roman" w:hAnsi="Times New Roman"/>
                <w:sz w:val="28"/>
                <w:szCs w:val="28"/>
              </w:rPr>
              <w:t xml:space="preserve">Місцезнаходження </w:t>
            </w:r>
          </w:p>
        </w:tc>
        <w:tc>
          <w:tcPr>
            <w:tcW w:w="60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pacing w:before="0" w:after="200"/>
              <w:jc w:val="both"/>
              <w:rPr>
                <w:rFonts w:ascii="Times New Roman" w:hAnsi="Times New Roman"/>
                <w:sz w:val="28"/>
                <w:szCs w:val="28"/>
              </w:rPr>
            </w:pPr>
            <w:r>
              <w:rPr>
                <w:rFonts w:cs="Times New Roman" w:ascii="Times New Roman" w:hAnsi="Times New Roman"/>
                <w:sz w:val="28"/>
                <w:szCs w:val="28"/>
              </w:rPr>
              <w:t>вулиця Загорська, будинок 10, каб.119, місто Ужгород,  Закарпатська область, 88017.</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8"/>
                <w:szCs w:val="28"/>
              </w:rPr>
            </w:pPr>
            <w:r>
              <w:rPr>
                <w:rFonts w:cs="Times New Roman" w:ascii="Times New Roman" w:hAnsi="Times New Roman"/>
                <w:sz w:val="28"/>
                <w:szCs w:val="28"/>
              </w:rPr>
              <w:t>2.</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8"/>
                <w:szCs w:val="28"/>
              </w:rPr>
            </w:pPr>
            <w:r>
              <w:rPr>
                <w:rFonts w:cs="Times New Roman" w:ascii="Times New Roman" w:hAnsi="Times New Roman"/>
                <w:sz w:val="28"/>
                <w:szCs w:val="28"/>
              </w:rPr>
              <w:t xml:space="preserve">Інформація щодо режиму роботи </w:t>
            </w:r>
          </w:p>
        </w:tc>
        <w:tc>
          <w:tcPr>
            <w:tcW w:w="60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pacing w:lineRule="auto" w:line="240" w:before="0" w:after="198"/>
              <w:contextualSpacing/>
              <w:rPr>
                <w:rFonts w:ascii="Times New Roman" w:hAnsi="Times New Roman"/>
                <w:sz w:val="28"/>
                <w:szCs w:val="28"/>
              </w:rPr>
            </w:pPr>
            <w:r>
              <w:rPr>
                <w:rFonts w:ascii="Times New Roman" w:hAnsi="Times New Roman"/>
                <w:sz w:val="28"/>
                <w:szCs w:val="28"/>
              </w:rPr>
              <w:t>Понеділок – четвер: 8.00 - 17.00</w:t>
            </w:r>
          </w:p>
          <w:p>
            <w:pPr>
              <w:pStyle w:val="Normal"/>
              <w:spacing w:lineRule="auto" w:line="240" w:before="0" w:after="198"/>
              <w:contextualSpacing/>
              <w:rPr>
                <w:rFonts w:ascii="Times New Roman" w:hAnsi="Times New Roman"/>
                <w:sz w:val="28"/>
                <w:szCs w:val="28"/>
              </w:rPr>
            </w:pPr>
            <w:r>
              <w:rPr>
                <w:rFonts w:ascii="Times New Roman" w:hAnsi="Times New Roman"/>
                <w:sz w:val="28"/>
                <w:szCs w:val="28"/>
              </w:rPr>
              <w:t>п’ятниця: 8.00 - 15.45</w:t>
            </w:r>
          </w:p>
          <w:p>
            <w:pPr>
              <w:pStyle w:val="Normal"/>
              <w:spacing w:before="0" w:after="198"/>
              <w:contextualSpacing/>
              <w:rPr>
                <w:rFonts w:ascii="Times New Roman" w:hAnsi="Times New Roman"/>
                <w:sz w:val="28"/>
                <w:szCs w:val="28"/>
              </w:rPr>
            </w:pPr>
            <w:r>
              <w:rPr>
                <w:rFonts w:ascii="Times New Roman" w:hAnsi="Times New Roman"/>
                <w:sz w:val="28"/>
                <w:szCs w:val="28"/>
              </w:rPr>
              <w:t>обідня перерва: 12.00 - 12.45</w:t>
            </w:r>
          </w:p>
          <w:p>
            <w:pPr>
              <w:pStyle w:val="Normal"/>
              <w:spacing w:lineRule="auto" w:line="240" w:before="0" w:after="198"/>
              <w:contextualSpacing/>
              <w:rPr>
                <w:rFonts w:ascii="Times New Roman" w:hAnsi="Times New Roman"/>
                <w:sz w:val="28"/>
                <w:szCs w:val="28"/>
              </w:rPr>
            </w:pPr>
            <w:r>
              <w:rPr>
                <w:rFonts w:cs="Times New Roman" w:ascii="Times New Roman" w:hAnsi="Times New Roman"/>
                <w:color w:val="000000"/>
                <w:sz w:val="28"/>
                <w:szCs w:val="28"/>
                <w:lang w:eastAsia="hi-IN" w:bidi="hi-IN"/>
              </w:rPr>
              <w:t>вихідні дні: субота, неділя.</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8"/>
                <w:szCs w:val="28"/>
              </w:rPr>
            </w:pPr>
            <w:r>
              <w:rPr>
                <w:rFonts w:cs="Times New Roman" w:ascii="Times New Roman" w:hAnsi="Times New Roman"/>
                <w:sz w:val="28"/>
                <w:szCs w:val="28"/>
              </w:rPr>
              <w:t>3.</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8"/>
                <w:szCs w:val="28"/>
              </w:rPr>
            </w:pPr>
            <w:r>
              <w:rPr>
                <w:rFonts w:cs="Times New Roman" w:ascii="Times New Roman" w:hAnsi="Times New Roman"/>
                <w:sz w:val="28"/>
                <w:szCs w:val="28"/>
              </w:rPr>
              <w:t xml:space="preserve">Телефон/факс (довідки), адреса електронної пошти та веб-сайт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c>
          <w:tcPr>
            <w:tcW w:w="60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pacing w:before="60" w:after="60"/>
              <w:rPr>
                <w:sz w:val="28"/>
                <w:szCs w:val="28"/>
              </w:rPr>
            </w:pPr>
            <w:r>
              <w:rPr>
                <w:rFonts w:cs="Times New Roman" w:ascii="Times New Roman" w:hAnsi="Times New Roman"/>
                <w:color w:val="000000"/>
                <w:sz w:val="28"/>
                <w:szCs w:val="28"/>
              </w:rPr>
              <w:t>Телефон – (0312) 61-70-17</w:t>
            </w:r>
          </w:p>
          <w:p>
            <w:pPr>
              <w:pStyle w:val="Normal"/>
              <w:spacing w:lineRule="atLeast" w:line="165" w:before="60" w:after="60"/>
              <w:rPr/>
            </w:pPr>
            <w:hyperlink r:id="rId2">
              <w:r>
                <w:rPr>
                  <w:rStyle w:val="Strong"/>
                  <w:rFonts w:cs="Times New Roman" w:ascii="Times New Roman" w:hAnsi="Times New Roman"/>
                  <w:b w:val="false"/>
                  <w:bCs w:val="false"/>
                  <w:color w:val="333333"/>
                  <w:sz w:val="28"/>
                  <w:szCs w:val="28"/>
                  <w:u w:val="none"/>
                </w:rPr>
                <w:t>uzh-rda@carpathia.gov.ua</w:t>
              </w:r>
            </w:hyperlink>
          </w:p>
          <w:p>
            <w:pPr>
              <w:pStyle w:val="Normal"/>
              <w:spacing w:lineRule="atLeast" w:line="165" w:before="60" w:after="60"/>
              <w:rPr>
                <w:sz w:val="28"/>
                <w:szCs w:val="28"/>
              </w:rPr>
            </w:pPr>
            <w:r>
              <w:rPr>
                <w:rStyle w:val="Strong"/>
                <w:rFonts w:eastAsia="Times New Roman" w:cs="Times New Roman" w:ascii="Times New Roman" w:hAnsi="Times New Roman"/>
                <w:b w:val="false"/>
                <w:bCs w:val="false"/>
                <w:color w:val="333333"/>
                <w:spacing w:val="2"/>
                <w:sz w:val="28"/>
                <w:szCs w:val="28"/>
                <w:lang w:val="en-US" w:eastAsia="uk-UA"/>
              </w:rPr>
              <w:t>www</w:t>
            </w:r>
            <w:r>
              <w:rPr>
                <w:rStyle w:val="Strong"/>
                <w:rFonts w:eastAsia="Times New Roman" w:cs="Times New Roman" w:ascii="Times New Roman" w:hAnsi="Times New Roman"/>
                <w:b w:val="false"/>
                <w:bCs w:val="false"/>
                <w:color w:val="333333"/>
                <w:spacing w:val="2"/>
                <w:sz w:val="28"/>
                <w:szCs w:val="28"/>
                <w:lang w:eastAsia="uk-UA"/>
              </w:rPr>
              <w:t>.</w:t>
            </w:r>
            <w:r>
              <w:rPr>
                <w:rStyle w:val="Strong"/>
                <w:rFonts w:eastAsia="Times New Roman" w:cs="Times New Roman" w:ascii="Times New Roman" w:hAnsi="Times New Roman"/>
                <w:b w:val="false"/>
                <w:bCs w:val="false"/>
                <w:color w:val="333333"/>
                <w:spacing w:val="2"/>
                <w:sz w:val="28"/>
                <w:szCs w:val="28"/>
                <w:lang w:val="en-US" w:eastAsia="uk-UA"/>
              </w:rPr>
              <w:t>uzh</w:t>
            </w:r>
            <w:r>
              <w:rPr>
                <w:rStyle w:val="Strong"/>
                <w:rFonts w:eastAsia="Times New Roman" w:cs="Times New Roman" w:ascii="Times New Roman" w:hAnsi="Times New Roman"/>
                <w:b w:val="false"/>
                <w:bCs w:val="false"/>
                <w:color w:val="333333"/>
                <w:spacing w:val="2"/>
                <w:sz w:val="28"/>
                <w:szCs w:val="28"/>
                <w:lang w:eastAsia="uk-UA"/>
              </w:rPr>
              <w:t>-</w:t>
            </w:r>
            <w:r>
              <w:rPr>
                <w:rStyle w:val="Strong"/>
                <w:rFonts w:eastAsia="Times New Roman" w:cs="Times New Roman" w:ascii="Times New Roman" w:hAnsi="Times New Roman"/>
                <w:b w:val="false"/>
                <w:bCs w:val="false"/>
                <w:color w:val="333333"/>
                <w:spacing w:val="2"/>
                <w:sz w:val="28"/>
                <w:szCs w:val="28"/>
                <w:lang w:val="en-US" w:eastAsia="uk-UA"/>
              </w:rPr>
              <w:t>rda</w:t>
            </w:r>
            <w:r>
              <w:rPr>
                <w:rStyle w:val="Strong"/>
                <w:rFonts w:eastAsia="Times New Roman" w:cs="Times New Roman" w:ascii="Times New Roman" w:hAnsi="Times New Roman"/>
                <w:b w:val="false"/>
                <w:bCs w:val="false"/>
                <w:color w:val="333333"/>
                <w:spacing w:val="2"/>
                <w:sz w:val="28"/>
                <w:szCs w:val="28"/>
                <w:lang w:eastAsia="uk-UA"/>
              </w:rPr>
              <w:t>.</w:t>
            </w:r>
            <w:r>
              <w:rPr>
                <w:rStyle w:val="Strong"/>
                <w:rFonts w:eastAsia="Times New Roman" w:cs="Times New Roman" w:ascii="Times New Roman" w:hAnsi="Times New Roman"/>
                <w:b w:val="false"/>
                <w:bCs w:val="false"/>
                <w:color w:val="333333"/>
                <w:spacing w:val="2"/>
                <w:sz w:val="28"/>
                <w:szCs w:val="28"/>
                <w:lang w:val="en-US" w:eastAsia="uk-UA"/>
              </w:rPr>
              <w:t>gov</w:t>
            </w:r>
            <w:r>
              <w:rPr>
                <w:rStyle w:val="Strong"/>
                <w:rFonts w:eastAsia="Times New Roman" w:cs="Times New Roman" w:ascii="Times New Roman" w:hAnsi="Times New Roman"/>
                <w:b w:val="false"/>
                <w:bCs w:val="false"/>
                <w:color w:val="333333"/>
                <w:spacing w:val="2"/>
                <w:sz w:val="28"/>
                <w:szCs w:val="28"/>
                <w:lang w:eastAsia="uk-UA"/>
              </w:rPr>
              <w:t>.</w:t>
            </w:r>
            <w:r>
              <w:rPr>
                <w:rStyle w:val="Strong"/>
                <w:rFonts w:eastAsia="Times New Roman" w:cs="Times New Roman" w:ascii="Times New Roman" w:hAnsi="Times New Roman"/>
                <w:b w:val="false"/>
                <w:bCs w:val="false"/>
                <w:color w:val="333333"/>
                <w:spacing w:val="2"/>
                <w:sz w:val="28"/>
                <w:szCs w:val="28"/>
                <w:lang w:val="en-US" w:eastAsia="uk-UA"/>
              </w:rPr>
              <w:t>ua</w:t>
            </w:r>
          </w:p>
        </w:tc>
      </w:tr>
      <w:tr>
        <w:trPr>
          <w:trHeight w:val="292" w:hRule="atLeast"/>
          <w:cantSplit w:val="true"/>
        </w:trPr>
        <w:tc>
          <w:tcPr>
            <w:tcW w:w="941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Нормативні акти, якими регламентується надання адміністративної послуги</w:t>
            </w:r>
          </w:p>
        </w:tc>
      </w:tr>
      <w:tr>
        <w:trPr>
          <w:trHeight w:val="261"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4.</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sz w:val="28"/>
                <w:szCs w:val="28"/>
              </w:rPr>
            </w:pPr>
            <w:r>
              <w:rPr>
                <w:rFonts w:cs="Times New Roman" w:ascii="Times New Roman" w:hAnsi="Times New Roman"/>
                <w:sz w:val="28"/>
                <w:szCs w:val="28"/>
              </w:rPr>
              <w:t>Закони України, акти Кабінету Міністрів України, акти центральних органів виконавчої влади</w:t>
            </w:r>
          </w:p>
        </w:tc>
        <w:tc>
          <w:tcPr>
            <w:tcW w:w="60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pPr>
            <w:r>
              <w:fldChar w:fldCharType="begin"/>
            </w:r>
            <w:r>
              <w:instrText> HYPERLINK "http://zakon1.rada.gov.ua/laws/show/1952-15" \l "_blank"</w:instrText>
            </w:r>
            <w:r>
              <w:fldChar w:fldCharType="separate"/>
            </w:r>
            <w:r>
              <w:rPr>
                <w:rStyle w:val="Style15"/>
                <w:rFonts w:cs="Times New Roman" w:ascii="Times New Roman" w:hAnsi="Times New Roman"/>
                <w:color w:val="000000"/>
                <w:sz w:val="28"/>
                <w:szCs w:val="28"/>
              </w:rPr>
              <w:t>З</w:t>
            </w:r>
            <w:r>
              <w:fldChar w:fldCharType="end"/>
            </w:r>
            <w:r>
              <w:rPr>
                <w:rStyle w:val="Style15"/>
                <w:rFonts w:cs="Times New Roman" w:ascii="Times New Roman" w:hAnsi="Times New Roman"/>
                <w:color w:val="000000"/>
                <w:sz w:val="28"/>
                <w:szCs w:val="28"/>
                <w:u w:val="none"/>
              </w:rPr>
              <w:t>акон України «Про державну реєстрацію речових прав на нерухоме майно та їх обтяжень</w:t>
            </w:r>
          </w:p>
          <w:p>
            <w:pPr>
              <w:pStyle w:val="NoSpacing"/>
              <w:spacing w:lineRule="auto" w:line="276"/>
              <w:rPr/>
            </w:pPr>
            <w:r>
              <w:fldChar w:fldCharType="begin"/>
            </w:r>
            <w:r>
              <w:instrText> HYPERLINK "http://www.kmu.gov.ua/control/ru/cardnpd?docid=248747864" \l "_blank"</w:instrText>
            </w:r>
            <w:r>
              <w:fldChar w:fldCharType="separate"/>
            </w:r>
            <w:r>
              <w:rPr>
                <w:rStyle w:val="Style15"/>
                <w:rFonts w:cs="Times New Roman" w:ascii="Times New Roman" w:hAnsi="Times New Roman"/>
                <w:color w:val="000000"/>
                <w:sz w:val="28"/>
                <w:szCs w:val="28"/>
                <w:u w:val="none"/>
              </w:rPr>
              <w:t>Постанова Кабінету Міністрів України від 25 грудня 2015 р. № 1127 "Про державну реєстрацію речових прав на нерухоме майно та їх обтяжень"</w:t>
            </w:r>
            <w:r>
              <w:fldChar w:fldCharType="end"/>
            </w:r>
          </w:p>
          <w:p>
            <w:pPr>
              <w:pStyle w:val="NoSpacing"/>
              <w:spacing w:lineRule="auto" w:line="276"/>
              <w:rPr>
                <w:rFonts w:ascii="Times New Roman" w:hAnsi="Times New Roman" w:cs="Times New Roman"/>
                <w:color w:val="686868"/>
                <w:sz w:val="28"/>
                <w:szCs w:val="28"/>
                <w:lang w:val="ru-RU"/>
              </w:rPr>
            </w:pPr>
            <w:r>
              <w:rPr>
                <w:rFonts w:cs="Times New Roman" w:ascii="Times New Roman" w:hAnsi="Times New Roman"/>
                <w:color w:val="686868"/>
                <w:sz w:val="28"/>
                <w:szCs w:val="28"/>
                <w:lang w:val="ru-RU"/>
              </w:rPr>
            </w:r>
          </w:p>
        </w:tc>
      </w:tr>
      <w:tr>
        <w:trPr>
          <w:trHeight w:val="339" w:hRule="atLeast"/>
        </w:trPr>
        <w:tc>
          <w:tcPr>
            <w:tcW w:w="941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Умови отримання адміністративної послуги</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Підстава для одержання адміністративної послуги</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color w:val="000000"/>
                <w:sz w:val="28"/>
                <w:szCs w:val="28"/>
              </w:rPr>
            </w:pPr>
            <w:r>
              <w:rPr>
                <w:rFonts w:cs="Times New Roman" w:ascii="Times New Roman" w:hAnsi="Times New Roman"/>
                <w:color w:val="000000"/>
                <w:sz w:val="28"/>
                <w:szCs w:val="28"/>
              </w:rPr>
              <w:t>Згідно п.1ст.27 Закону, на підставі:</w:t>
            </w:r>
          </w:p>
          <w:p>
            <w:pPr>
              <w:pStyle w:val="NoSpacing"/>
              <w:spacing w:lineRule="auto" w:line="276"/>
              <w:rPr>
                <w:rFonts w:ascii="Times New Roman" w:hAnsi="Times New Roman" w:cs="Times New Roman"/>
                <w:color w:val="000000"/>
                <w:sz w:val="28"/>
                <w:szCs w:val="28"/>
              </w:rPr>
            </w:pPr>
            <w:bookmarkStart w:id="0" w:name="n302"/>
            <w:bookmarkEnd w:id="0"/>
            <w:r>
              <w:rPr>
                <w:rFonts w:cs="Times New Roman" w:ascii="Times New Roman" w:hAnsi="Times New Roman"/>
                <w:color w:val="000000"/>
                <w:sz w:val="28"/>
                <w:szCs w:val="28"/>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pPr>
              <w:pStyle w:val="NoSpacing"/>
              <w:spacing w:lineRule="auto" w:line="276"/>
              <w:rPr>
                <w:rFonts w:ascii="Times New Roman" w:hAnsi="Times New Roman" w:cs="Times New Roman"/>
                <w:color w:val="000000"/>
                <w:sz w:val="28"/>
                <w:szCs w:val="28"/>
              </w:rPr>
            </w:pPr>
            <w:bookmarkStart w:id="1" w:name="n303"/>
            <w:bookmarkEnd w:id="1"/>
            <w:r>
              <w:rPr>
                <w:rFonts w:cs="Times New Roman" w:ascii="Times New Roman" w:hAnsi="Times New Roman"/>
                <w:color w:val="000000"/>
                <w:sz w:val="28"/>
                <w:szCs w:val="28"/>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pPr>
              <w:pStyle w:val="NoSpacing"/>
              <w:spacing w:lineRule="auto" w:line="276"/>
              <w:rPr>
                <w:rFonts w:ascii="Times New Roman" w:hAnsi="Times New Roman" w:cs="Times New Roman"/>
                <w:color w:val="000000"/>
                <w:sz w:val="28"/>
                <w:szCs w:val="28"/>
              </w:rPr>
            </w:pPr>
            <w:bookmarkStart w:id="2" w:name="n304"/>
            <w:bookmarkEnd w:id="2"/>
            <w:r>
              <w:rPr>
                <w:rFonts w:cs="Times New Roman" w:ascii="Times New Roman" w:hAnsi="Times New Roman"/>
                <w:color w:val="000000"/>
                <w:sz w:val="28"/>
                <w:szCs w:val="28"/>
              </w:rPr>
              <w:t>3) свідоцтва про право на спадщину, виданого нотаріусом або консульською установою України, чи його дубліката;</w:t>
            </w:r>
          </w:p>
          <w:p>
            <w:pPr>
              <w:pStyle w:val="NoSpacing"/>
              <w:spacing w:lineRule="auto" w:line="276"/>
              <w:rPr>
                <w:rFonts w:ascii="Times New Roman" w:hAnsi="Times New Roman" w:cs="Times New Roman"/>
                <w:color w:val="000000"/>
                <w:sz w:val="28"/>
                <w:szCs w:val="28"/>
              </w:rPr>
            </w:pPr>
            <w:bookmarkStart w:id="3" w:name="n305"/>
            <w:bookmarkEnd w:id="3"/>
            <w:r>
              <w:rPr>
                <w:rFonts w:cs="Times New Roman" w:ascii="Times New Roman" w:hAnsi="Times New Roman"/>
                <w:color w:val="000000"/>
                <w:sz w:val="28"/>
                <w:szCs w:val="28"/>
              </w:rPr>
              <w:t>4) виданого нотаріусом свідоцтва про придбання майна з 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pPr>
              <w:pStyle w:val="NoSpacing"/>
              <w:spacing w:lineRule="auto" w:line="276"/>
              <w:rPr>
                <w:rFonts w:ascii="Times New Roman" w:hAnsi="Times New Roman" w:cs="Times New Roman"/>
                <w:color w:val="000000"/>
                <w:sz w:val="28"/>
                <w:szCs w:val="28"/>
              </w:rPr>
            </w:pPr>
            <w:bookmarkStart w:id="4" w:name="n306"/>
            <w:bookmarkEnd w:id="4"/>
            <w:r>
              <w:rPr>
                <w:rFonts w:cs="Times New Roman" w:ascii="Times New Roman" w:hAnsi="Times New Roman"/>
                <w:color w:val="000000"/>
                <w:sz w:val="28"/>
                <w:szCs w:val="28"/>
              </w:rPr>
              <w:t>5)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pPr>
              <w:pStyle w:val="NoSpacing"/>
              <w:spacing w:lineRule="auto" w:line="276"/>
              <w:rPr>
                <w:rFonts w:ascii="Times New Roman" w:hAnsi="Times New Roman" w:cs="Times New Roman"/>
                <w:color w:val="000000"/>
                <w:sz w:val="28"/>
                <w:szCs w:val="28"/>
              </w:rPr>
            </w:pPr>
            <w:bookmarkStart w:id="5" w:name="n307"/>
            <w:bookmarkEnd w:id="5"/>
            <w:r>
              <w:rPr>
                <w:rFonts w:cs="Times New Roman" w:ascii="Times New Roman" w:hAnsi="Times New Roman"/>
                <w:color w:val="000000"/>
                <w:sz w:val="28"/>
                <w:szCs w:val="28"/>
              </w:rPr>
              <w:t>6) свідоцтва про право власності на нерухоме майно чи його дубліката, виданого до 1 січня 2013 року органом місцевого самоврядування або місцевою державною адміністрацією;</w:t>
            </w:r>
          </w:p>
          <w:p>
            <w:pPr>
              <w:pStyle w:val="NoSpacing"/>
              <w:spacing w:lineRule="auto" w:line="276"/>
              <w:rPr>
                <w:rFonts w:ascii="Times New Roman" w:hAnsi="Times New Roman" w:cs="Times New Roman"/>
                <w:color w:val="000000"/>
                <w:sz w:val="28"/>
                <w:szCs w:val="28"/>
              </w:rPr>
            </w:pPr>
            <w:bookmarkStart w:id="6" w:name="n308"/>
            <w:bookmarkEnd w:id="6"/>
            <w:r>
              <w:rPr>
                <w:rFonts w:cs="Times New Roman" w:ascii="Times New Roman" w:hAnsi="Times New Roman"/>
                <w:color w:val="000000"/>
                <w:sz w:val="28"/>
                <w:szCs w:val="28"/>
              </w:rPr>
              <w:t>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pPr>
              <w:pStyle w:val="NoSpacing"/>
              <w:spacing w:lineRule="auto" w:line="276"/>
              <w:rPr>
                <w:rFonts w:ascii="Times New Roman" w:hAnsi="Times New Roman" w:cs="Times New Roman"/>
                <w:color w:val="000000"/>
                <w:sz w:val="28"/>
                <w:szCs w:val="28"/>
              </w:rPr>
            </w:pPr>
            <w:bookmarkStart w:id="7" w:name="n309"/>
            <w:bookmarkEnd w:id="7"/>
            <w:r>
              <w:rPr>
                <w:rFonts w:cs="Times New Roman" w:ascii="Times New Roman" w:hAnsi="Times New Roman"/>
                <w:color w:val="000000"/>
                <w:sz w:val="28"/>
                <w:szCs w:val="28"/>
              </w:rPr>
              <w:t>8)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або державного акта на право постійного користування землею, виданих до 1 січня 2013 року;</w:t>
            </w:r>
          </w:p>
          <w:p>
            <w:pPr>
              <w:pStyle w:val="NoSpacing"/>
              <w:spacing w:lineRule="auto" w:line="276"/>
              <w:rPr>
                <w:rFonts w:ascii="Times New Roman" w:hAnsi="Times New Roman" w:cs="Times New Roman"/>
                <w:color w:val="000000"/>
                <w:sz w:val="28"/>
                <w:szCs w:val="28"/>
              </w:rPr>
            </w:pPr>
            <w:bookmarkStart w:id="8" w:name="n310"/>
            <w:bookmarkEnd w:id="8"/>
            <w:r>
              <w:rPr>
                <w:rFonts w:cs="Times New Roman" w:ascii="Times New Roman" w:hAnsi="Times New Roman"/>
                <w:color w:val="000000"/>
                <w:sz w:val="28"/>
                <w:szCs w:val="28"/>
              </w:rPr>
              <w:t>9) рішення суду, що набрало законної сили, щодо права власності та інших речових прав на нерухоме майно;</w:t>
            </w:r>
          </w:p>
          <w:p>
            <w:pPr>
              <w:pStyle w:val="NoSpacing"/>
              <w:spacing w:lineRule="auto" w:line="276"/>
              <w:rPr>
                <w:rFonts w:ascii="Times New Roman" w:hAnsi="Times New Roman" w:cs="Times New Roman"/>
                <w:color w:val="000000"/>
                <w:sz w:val="28"/>
                <w:szCs w:val="28"/>
              </w:rPr>
            </w:pPr>
            <w:bookmarkStart w:id="9" w:name="n311"/>
            <w:bookmarkEnd w:id="9"/>
            <w:r>
              <w:rPr>
                <w:rFonts w:cs="Times New Roman" w:ascii="Times New Roman" w:hAnsi="Times New Roman"/>
                <w:color w:val="000000"/>
                <w:sz w:val="28"/>
                <w:szCs w:val="28"/>
              </w:rPr>
              <w:t>10) ухвали суду про затвердження (визнання) мирової угоди;</w:t>
            </w:r>
          </w:p>
          <w:p>
            <w:pPr>
              <w:pStyle w:val="NoSpacing"/>
              <w:spacing w:lineRule="auto" w:line="276"/>
              <w:rPr>
                <w:rFonts w:ascii="Times New Roman" w:hAnsi="Times New Roman" w:cs="Times New Roman"/>
                <w:color w:val="000000"/>
                <w:sz w:val="28"/>
                <w:szCs w:val="28"/>
              </w:rPr>
            </w:pPr>
            <w:bookmarkStart w:id="10" w:name="n312"/>
            <w:bookmarkEnd w:id="10"/>
            <w:r>
              <w:rPr>
                <w:rFonts w:cs="Times New Roman" w:ascii="Times New Roman" w:hAnsi="Times New Roman"/>
                <w:color w:val="000000"/>
                <w:sz w:val="28"/>
                <w:szCs w:val="28"/>
              </w:rPr>
              <w:t>11) заповіту, яким установлено сервітут на нерухоме майно;</w:t>
            </w:r>
          </w:p>
          <w:p>
            <w:pPr>
              <w:pStyle w:val="NoSpacing"/>
              <w:spacing w:lineRule="auto" w:line="276"/>
              <w:rPr>
                <w:rFonts w:ascii="Times New Roman" w:hAnsi="Times New Roman" w:cs="Times New Roman"/>
                <w:color w:val="000000"/>
                <w:sz w:val="28"/>
                <w:szCs w:val="28"/>
              </w:rPr>
            </w:pPr>
            <w:bookmarkStart w:id="11" w:name="n313"/>
            <w:bookmarkEnd w:id="11"/>
            <w:r>
              <w:rPr>
                <w:rFonts w:cs="Times New Roman" w:ascii="Times New Roman" w:hAnsi="Times New Roman"/>
                <w:color w:val="000000"/>
                <w:sz w:val="28"/>
                <w:szCs w:val="28"/>
              </w:rPr>
              <w:t>12) рішення уповноваженого законом органу державної влади про повернення об’єкта нерухомого майна релігійній організації;</w:t>
            </w:r>
          </w:p>
          <w:p>
            <w:pPr>
              <w:pStyle w:val="NoSpacing"/>
              <w:spacing w:lineRule="auto" w:line="276"/>
              <w:rPr>
                <w:rFonts w:ascii="Times New Roman" w:hAnsi="Times New Roman" w:cs="Times New Roman"/>
                <w:color w:val="000000"/>
                <w:sz w:val="28"/>
                <w:szCs w:val="28"/>
              </w:rPr>
            </w:pPr>
            <w:bookmarkStart w:id="12" w:name="n314"/>
            <w:bookmarkEnd w:id="12"/>
            <w:r>
              <w:rPr>
                <w:rFonts w:cs="Times New Roman" w:ascii="Times New Roman" w:hAnsi="Times New Roman"/>
                <w:color w:val="000000"/>
                <w:sz w:val="28"/>
                <w:szCs w:val="28"/>
              </w:rPr>
              <w:t>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pPr>
              <w:pStyle w:val="NoSpacing"/>
              <w:spacing w:lineRule="auto" w:line="276"/>
              <w:rPr>
                <w:rFonts w:ascii="Times New Roman" w:hAnsi="Times New Roman" w:cs="Times New Roman"/>
                <w:color w:val="000000"/>
                <w:sz w:val="28"/>
                <w:szCs w:val="28"/>
              </w:rPr>
            </w:pPr>
            <w:bookmarkStart w:id="13" w:name="n315"/>
            <w:bookmarkEnd w:id="13"/>
            <w:r>
              <w:rPr>
                <w:rFonts w:cs="Times New Roman" w:ascii="Times New Roman" w:hAnsi="Times New Roman"/>
                <w:color w:val="000000"/>
                <w:sz w:val="28"/>
                <w:szCs w:val="28"/>
              </w:rPr>
              <w:t>14) інших документів, що відповідно до законодавства підтверджують набуття, зміну або припинення прав на нерухоме майно.</w:t>
            </w:r>
          </w:p>
        </w:tc>
      </w:tr>
      <w:tr>
        <w:trPr>
          <w:trHeight w:val="124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6.</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Перелік документів, необхідних для отримання адміністративної послуги, а також вимоги до них</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vAlign w:val="cente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1.Заява про державну реєстрацію прав та їх обтяжень (щодо іншого речового права) (формується за допомогою програмних засобів ведення Реєстру).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2.Документ, що посвідчує особу заявника.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3.Реєстраційний номер облікової картки платника податку згідно з Державним реєстром фізичних осіб – платників податків (ідентифікаційний номер) - у разі подання заяви заінтересованою особою особисто.</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4. Документ, що підтверджує її повноваження та документ, що посвідчує її особу – у разі подання заяви уповноваженою особою.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5.Для уповноваженої особи, яка діє від імені фізичної особи (довіреність, посвідчена нотаріально або сільською,селищною радою, видана керівником юридичної особи).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6.Документ, що підтверджує внесення адміністративного збору за надання адміністративної послуги.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7.Документи, що підтверджують виникнення, перехід або припинення речового права на нерухоме майно (договір оренди землі, договір про встановлення сервітуту, договір управління майном, державний акт на право постійного користування земельною ділянкою тощо).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8.Інші документи - у випадках передбачених законодавством.</w:t>
            </w:r>
          </w:p>
        </w:tc>
      </w:tr>
      <w:tr>
        <w:trPr>
          <w:trHeight w:val="76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7.</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Порядок та спосіб подання документів, необхідних для отримання адміністративної послуги</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vAlign w:val="cente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Особисто (або уповноваженою особою) шляхом звернення до суб</w:t>
            </w:r>
            <w:r>
              <w:rPr>
                <w:rFonts w:cs="Times New Roman" w:ascii="Times New Roman" w:hAnsi="Times New Roman"/>
                <w:sz w:val="28"/>
                <w:szCs w:val="28"/>
                <w:lang w:val="ru-RU"/>
              </w:rPr>
              <w:t>'</w:t>
            </w:r>
            <w:r>
              <w:rPr>
                <w:rFonts w:cs="Times New Roman" w:ascii="Times New Roman" w:hAnsi="Times New Roman"/>
                <w:sz w:val="28"/>
                <w:szCs w:val="28"/>
              </w:rPr>
              <w:t xml:space="preserve">єкта надання адміністративних послуг. </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8.</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Платність (безоплатність) надання адміністративної послуги</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before="0" w:after="200"/>
              <w:contextualSpacing/>
              <w:rPr>
                <w:rFonts w:ascii="Times New Roman" w:hAnsi="Times New Roman"/>
                <w:sz w:val="28"/>
                <w:szCs w:val="28"/>
              </w:rPr>
            </w:pPr>
            <w:r>
              <w:rPr>
                <w:rFonts w:cs="Times New Roman" w:ascii="Times New Roman" w:hAnsi="Times New Roman"/>
                <w:sz w:val="28"/>
                <w:szCs w:val="28"/>
              </w:rPr>
              <w:t xml:space="preserve">Платно </w:t>
            </w:r>
            <w:r>
              <w:rPr>
                <w:rFonts w:cs="Times New Roman" w:ascii="Times New Roman" w:hAnsi="Times New Roman"/>
                <w:sz w:val="28"/>
                <w:szCs w:val="28"/>
                <w:lang w:val="ru-RU"/>
              </w:rPr>
              <w:t>а</w:t>
            </w:r>
            <w:r>
              <w:rPr>
                <w:rFonts w:cs="Times New Roman" w:ascii="Times New Roman" w:hAnsi="Times New Roman"/>
                <w:sz w:val="28"/>
                <w:szCs w:val="28"/>
              </w:rPr>
              <w:t>дміністративний збір</w:t>
            </w:r>
            <w:r>
              <w:rPr>
                <w:rFonts w:ascii="Times New Roman" w:hAnsi="Times New Roman"/>
                <w:sz w:val="28"/>
                <w:szCs w:val="28"/>
              </w:rPr>
              <w:t xml:space="preserve">: </w:t>
            </w:r>
          </w:p>
          <w:p>
            <w:pPr>
              <w:pStyle w:val="Style18"/>
              <w:spacing w:before="0" w:after="0"/>
              <w:ind w:firstLine="360"/>
              <w:contextualSpacing/>
              <w:jc w:val="both"/>
              <w:rPr>
                <w:rFonts w:ascii="Times New Roman" w:hAnsi="Times New Roman"/>
                <w:sz w:val="28"/>
                <w:szCs w:val="28"/>
              </w:rPr>
            </w:pPr>
            <w:bookmarkStart w:id="14" w:name="n6231"/>
            <w:bookmarkEnd w:id="14"/>
            <w:r>
              <w:rPr>
                <w:rFonts w:cs="Times New Roman" w:ascii="Times New Roman" w:hAnsi="Times New Roman"/>
                <w:color w:val="000000"/>
                <w:sz w:val="28"/>
                <w:szCs w:val="28"/>
              </w:rPr>
              <w:t>0,5 прожиткового мінімуму для працездатних осіб - у строк два робочі дні;</w:t>
            </w:r>
          </w:p>
          <w:p>
            <w:pPr>
              <w:pStyle w:val="Style18"/>
              <w:spacing w:before="0" w:after="0"/>
              <w:ind w:firstLine="360"/>
              <w:contextualSpacing/>
              <w:jc w:val="both"/>
              <w:rPr>
                <w:rFonts w:ascii="Times New Roman" w:hAnsi="Times New Roman" w:cs="Times New Roman"/>
                <w:color w:val="000000"/>
                <w:sz w:val="28"/>
                <w:szCs w:val="28"/>
              </w:rPr>
            </w:pPr>
            <w:bookmarkStart w:id="15" w:name="n6241"/>
            <w:bookmarkEnd w:id="15"/>
            <w:r>
              <w:rPr>
                <w:rFonts w:cs="Times New Roman" w:ascii="Times New Roman" w:hAnsi="Times New Roman"/>
                <w:color w:val="000000"/>
                <w:sz w:val="28"/>
                <w:szCs w:val="28"/>
              </w:rPr>
              <w:t>1 прожитковий мінімум для працездатних осіб - у строк один робочий день;</w:t>
            </w:r>
          </w:p>
          <w:p>
            <w:pPr>
              <w:pStyle w:val="Style18"/>
              <w:spacing w:before="0" w:after="0"/>
              <w:ind w:firstLine="360"/>
              <w:contextualSpacing/>
              <w:jc w:val="both"/>
              <w:rPr>
                <w:rFonts w:ascii="Times New Roman" w:hAnsi="Times New Roman" w:cs="Times New Roman"/>
                <w:color w:val="000000"/>
                <w:sz w:val="28"/>
                <w:szCs w:val="28"/>
              </w:rPr>
            </w:pPr>
            <w:bookmarkStart w:id="16" w:name="n6251"/>
            <w:bookmarkEnd w:id="16"/>
            <w:r>
              <w:rPr>
                <w:rFonts w:cs="Times New Roman" w:ascii="Times New Roman" w:hAnsi="Times New Roman"/>
                <w:color w:val="000000"/>
                <w:sz w:val="28"/>
                <w:szCs w:val="28"/>
              </w:rPr>
              <w:t>2,5 прожиткового мінімуму для працездатних осіб - у строк 2 години.</w:t>
            </w:r>
          </w:p>
          <w:p>
            <w:pPr>
              <w:pStyle w:val="Style18"/>
              <w:spacing w:before="0" w:after="0"/>
              <w:ind w:firstLine="360"/>
              <w:contextualSpacing/>
              <w:jc w:val="both"/>
              <w:rPr>
                <w:rFonts w:ascii="Times New Roman" w:hAnsi="Times New Roman"/>
                <w:sz w:val="28"/>
                <w:szCs w:val="28"/>
              </w:rPr>
            </w:pPr>
            <w:r>
              <w:rPr>
                <w:rFonts w:cs="Times New Roman" w:ascii="Times New Roman" w:hAnsi="Times New Roman"/>
                <w:color w:val="000000"/>
                <w:sz w:val="28"/>
                <w:szCs w:val="28"/>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pPr>
              <w:pStyle w:val="Style18"/>
              <w:spacing w:before="0" w:after="0"/>
              <w:contextualSpacing/>
              <w:rPr>
                <w:sz w:val="28"/>
                <w:szCs w:val="28"/>
              </w:rPr>
            </w:pPr>
            <w:r>
              <w:rPr>
                <w:rStyle w:val="Style16"/>
                <w:rFonts w:cs="Times New Roman" w:ascii="Times New Roman" w:hAnsi="Times New Roman"/>
                <w:b w:val="false"/>
                <w:color w:val="000000"/>
                <w:sz w:val="28"/>
                <w:szCs w:val="28"/>
              </w:rPr>
              <w:t>Звільняються від сплати адміністративного збору під час проведення державної реєстрації речових прав:</w:t>
            </w:r>
          </w:p>
          <w:p>
            <w:pPr>
              <w:pStyle w:val="Style18"/>
              <w:spacing w:before="0" w:after="0"/>
              <w:contextualSpacing/>
              <w:jc w:val="both"/>
              <w:rPr>
                <w:rFonts w:ascii="Times New Roman" w:hAnsi="Times New Roman" w:cs="Times New Roman"/>
                <w:color w:val="000000"/>
                <w:sz w:val="28"/>
                <w:szCs w:val="28"/>
              </w:rPr>
            </w:pPr>
            <w:bookmarkStart w:id="17" w:name="n368"/>
            <w:bookmarkEnd w:id="17"/>
            <w:r>
              <w:rPr>
                <w:rFonts w:cs="Times New Roman" w:ascii="Times New Roman" w:hAnsi="Times New Roman"/>
                <w:color w:val="000000"/>
                <w:sz w:val="28"/>
                <w:szCs w:val="28"/>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pPr>
              <w:pStyle w:val="Style18"/>
              <w:spacing w:before="0" w:after="0"/>
              <w:contextualSpacing/>
              <w:jc w:val="both"/>
              <w:rPr>
                <w:rFonts w:ascii="Times New Roman" w:hAnsi="Times New Roman" w:cs="Times New Roman"/>
                <w:color w:val="000000"/>
                <w:sz w:val="28"/>
                <w:szCs w:val="28"/>
              </w:rPr>
            </w:pPr>
            <w:bookmarkStart w:id="18" w:name="n369"/>
            <w:bookmarkEnd w:id="18"/>
            <w:r>
              <w:rPr>
                <w:rFonts w:cs="Times New Roman" w:ascii="Times New Roman" w:hAnsi="Times New Roman"/>
                <w:color w:val="000000"/>
                <w:sz w:val="28"/>
                <w:szCs w:val="28"/>
              </w:rPr>
              <w:t>2) громадяни, віднесені до категорій 1 і 2 постраждалих внаслідок Чорнобильської катастрофи;</w:t>
            </w:r>
          </w:p>
          <w:p>
            <w:pPr>
              <w:pStyle w:val="Style18"/>
              <w:spacing w:before="0" w:after="0"/>
              <w:contextualSpacing/>
              <w:jc w:val="both"/>
              <w:rPr>
                <w:rFonts w:ascii="Times New Roman" w:hAnsi="Times New Roman" w:cs="Times New Roman"/>
                <w:color w:val="000000"/>
                <w:sz w:val="28"/>
                <w:szCs w:val="28"/>
              </w:rPr>
            </w:pPr>
            <w:bookmarkStart w:id="19" w:name="n370"/>
            <w:bookmarkEnd w:id="19"/>
            <w:r>
              <w:rPr>
                <w:rFonts w:cs="Times New Roman" w:ascii="Times New Roman" w:hAnsi="Times New Roman"/>
                <w:color w:val="000000"/>
                <w:sz w:val="28"/>
                <w:szCs w:val="28"/>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pPr>
              <w:pStyle w:val="Style18"/>
              <w:spacing w:before="0" w:after="0"/>
              <w:contextualSpacing/>
              <w:jc w:val="both"/>
              <w:rPr>
                <w:rFonts w:ascii="Times New Roman" w:hAnsi="Times New Roman" w:cs="Times New Roman"/>
                <w:color w:val="000000"/>
                <w:sz w:val="28"/>
                <w:szCs w:val="28"/>
              </w:rPr>
            </w:pPr>
            <w:bookmarkStart w:id="20" w:name="n371"/>
            <w:bookmarkEnd w:id="20"/>
            <w:r>
              <w:rPr>
                <w:rFonts w:cs="Times New Roman" w:ascii="Times New Roman" w:hAnsi="Times New Roman"/>
                <w:color w:val="000000"/>
                <w:sz w:val="28"/>
                <w:szCs w:val="28"/>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pPr>
              <w:pStyle w:val="Style18"/>
              <w:spacing w:before="0" w:after="0"/>
              <w:contextualSpacing/>
              <w:jc w:val="both"/>
              <w:rPr>
                <w:rFonts w:ascii="Times New Roman" w:hAnsi="Times New Roman" w:cs="Times New Roman"/>
                <w:color w:val="000000"/>
                <w:sz w:val="28"/>
                <w:szCs w:val="28"/>
              </w:rPr>
            </w:pPr>
            <w:bookmarkStart w:id="21" w:name="n372"/>
            <w:bookmarkEnd w:id="21"/>
            <w:r>
              <w:rPr>
                <w:rFonts w:cs="Times New Roman" w:ascii="Times New Roman" w:hAnsi="Times New Roman"/>
                <w:color w:val="000000"/>
                <w:sz w:val="28"/>
                <w:szCs w:val="28"/>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pPr>
              <w:pStyle w:val="Style18"/>
              <w:spacing w:before="0" w:after="0"/>
              <w:contextualSpacing/>
              <w:jc w:val="both"/>
              <w:rPr>
                <w:rFonts w:ascii="Times New Roman" w:hAnsi="Times New Roman" w:cs="Times New Roman"/>
                <w:color w:val="000000"/>
                <w:sz w:val="28"/>
                <w:szCs w:val="28"/>
              </w:rPr>
            </w:pPr>
            <w:bookmarkStart w:id="22" w:name="n373"/>
            <w:bookmarkEnd w:id="22"/>
            <w:r>
              <w:rPr>
                <w:rFonts w:cs="Times New Roman" w:ascii="Times New Roman" w:hAnsi="Times New Roman"/>
                <w:color w:val="000000"/>
                <w:sz w:val="28"/>
                <w:szCs w:val="28"/>
              </w:rPr>
              <w:t>6) інваліди I та II груп;</w:t>
            </w:r>
          </w:p>
          <w:p>
            <w:pPr>
              <w:pStyle w:val="Style18"/>
              <w:spacing w:before="0" w:after="0"/>
              <w:contextualSpacing/>
              <w:jc w:val="both"/>
              <w:rPr>
                <w:rFonts w:ascii="Times New Roman" w:hAnsi="Times New Roman" w:cs="Times New Roman"/>
                <w:color w:val="000000"/>
                <w:sz w:val="28"/>
                <w:szCs w:val="28"/>
              </w:rPr>
            </w:pPr>
            <w:bookmarkStart w:id="23" w:name="n374"/>
            <w:bookmarkEnd w:id="23"/>
            <w:r>
              <w:rPr>
                <w:rFonts w:cs="Times New Roman" w:ascii="Times New Roman" w:hAnsi="Times New Roman"/>
                <w:color w:val="000000"/>
                <w:sz w:val="28"/>
                <w:szCs w:val="28"/>
              </w:rPr>
              <w:t>7) Національний банк України;</w:t>
            </w:r>
          </w:p>
          <w:p>
            <w:pPr>
              <w:pStyle w:val="Style18"/>
              <w:spacing w:before="0" w:after="0"/>
              <w:contextualSpacing/>
              <w:jc w:val="both"/>
              <w:rPr>
                <w:rFonts w:ascii="Times New Roman" w:hAnsi="Times New Roman" w:cs="Times New Roman"/>
                <w:color w:val="000000"/>
                <w:sz w:val="28"/>
                <w:szCs w:val="28"/>
              </w:rPr>
            </w:pPr>
            <w:bookmarkStart w:id="24" w:name="n375"/>
            <w:bookmarkEnd w:id="24"/>
            <w:r>
              <w:rPr>
                <w:rFonts w:cs="Times New Roman" w:ascii="Times New Roman" w:hAnsi="Times New Roman"/>
                <w:color w:val="000000"/>
                <w:sz w:val="28"/>
                <w:szCs w:val="28"/>
              </w:rPr>
              <w:t>8) органи державної влади, органи місцевого самоврядування;</w:t>
            </w:r>
          </w:p>
          <w:p>
            <w:pPr>
              <w:pStyle w:val="Style18"/>
              <w:spacing w:before="0" w:after="0"/>
              <w:contextualSpacing/>
              <w:jc w:val="both"/>
              <w:rPr>
                <w:rFonts w:ascii="Times New Roman" w:hAnsi="Times New Roman" w:cs="Times New Roman"/>
                <w:color w:val="000000"/>
                <w:sz w:val="28"/>
                <w:szCs w:val="28"/>
              </w:rPr>
            </w:pPr>
            <w:bookmarkStart w:id="25" w:name="n376"/>
            <w:bookmarkEnd w:id="25"/>
            <w:r>
              <w:rPr>
                <w:rFonts w:cs="Times New Roman" w:ascii="Times New Roman" w:hAnsi="Times New Roman"/>
                <w:color w:val="000000"/>
                <w:sz w:val="28"/>
                <w:szCs w:val="28"/>
              </w:rPr>
              <w:t>9) інші особи за рішенням сільської, селищної, міської ради, виконавчий орган якої здійснює функції суб’єкта державної реєстрації прав.</w:t>
            </w:r>
          </w:p>
          <w:p>
            <w:pPr>
              <w:pStyle w:val="Style18"/>
              <w:spacing w:before="0" w:after="0"/>
              <w:ind w:firstLine="360"/>
              <w:contextualSpacing/>
              <w:jc w:val="both"/>
              <w:rPr>
                <w:rFonts w:ascii="Times New Roman" w:hAnsi="Times New Roman" w:cs="Times New Roman"/>
                <w:color w:val="000000"/>
                <w:sz w:val="28"/>
                <w:szCs w:val="28"/>
              </w:rPr>
            </w:pPr>
            <w:bookmarkStart w:id="26" w:name="n645"/>
            <w:bookmarkEnd w:id="26"/>
            <w:r>
              <w:rPr>
                <w:rFonts w:cs="Times New Roman" w:ascii="Times New Roman" w:hAnsi="Times New Roman"/>
                <w:color w:val="000000"/>
                <w:sz w:val="28"/>
                <w:szCs w:val="28"/>
              </w:rPr>
              <w:t>У разі якщо державна реєстрація права власності або інших речових прав, відмінних від права власності, проводиться у строки менші, ніж передбачені статтею 19 цього Закону, особи, визначені пунктами 1-9 цієї частини, не звільняються від сплати адміністративного збору.</w:t>
            </w:r>
          </w:p>
          <w:p>
            <w:pPr>
              <w:pStyle w:val="Normal"/>
              <w:spacing w:before="0" w:after="0"/>
              <w:contextualSpacing/>
              <w:jc w:val="both"/>
              <w:rPr>
                <w:b/>
                <w:b/>
                <w:sz w:val="28"/>
                <w:szCs w:val="28"/>
              </w:rPr>
            </w:pPr>
            <w:r>
              <w:rPr>
                <w:rStyle w:val="Style16"/>
                <w:rFonts w:ascii="Times New Roman" w:hAnsi="Times New Roman"/>
                <w:b w:val="false"/>
                <w:sz w:val="28"/>
                <w:szCs w:val="28"/>
              </w:rPr>
              <w:t>У разі відмови у державній реєстрації прав адміністративних збір не повертається.</w:t>
            </w:r>
          </w:p>
          <w:p>
            <w:pPr>
              <w:pStyle w:val="Normal"/>
              <w:spacing w:before="0" w:after="0"/>
              <w:contextualSpacing/>
              <w:rPr>
                <w:b/>
                <w:b/>
                <w:sz w:val="28"/>
                <w:szCs w:val="28"/>
              </w:rPr>
            </w:pPr>
            <w:r>
              <w:rPr>
                <w:rStyle w:val="Style16"/>
                <w:rFonts w:eastAsia="Times New Roman" w:cs="Times New Roman" w:ascii="Times New Roman" w:hAnsi="Times New Roman"/>
                <w:b w:val="false"/>
                <w:color w:val="000000"/>
                <w:sz w:val="28"/>
                <w:szCs w:val="28"/>
                <w:lang w:eastAsia="ar-SA"/>
              </w:rPr>
              <w:t xml:space="preserve">У разі відкликання заяви про державну реєстрацію прав адміністративний збір </w:t>
            </w:r>
          </w:p>
          <w:p>
            <w:pPr>
              <w:pStyle w:val="NoSpacing"/>
              <w:spacing w:lineRule="auto" w:line="276" w:before="0" w:after="200"/>
              <w:contextualSpacing/>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b/>
                <w:color w:val="000000"/>
                <w:sz w:val="28"/>
                <w:szCs w:val="28"/>
                <w:lang w:eastAsia="ar-SA"/>
              </w:rPr>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9</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Строк надання адміністративної послуги</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5 робочих днів. </w:t>
            </w:r>
          </w:p>
          <w:p>
            <w:pPr>
              <w:pStyle w:val="NoSpacing"/>
              <w:spacing w:lineRule="auto" w:line="276"/>
              <w:rPr>
                <w:rFonts w:ascii="Times New Roman" w:hAnsi="Times New Roman" w:cs="Times New Roman"/>
                <w:sz w:val="28"/>
                <w:szCs w:val="28"/>
                <w:lang w:val="ru-RU"/>
              </w:rPr>
            </w:pPr>
            <w:r>
              <w:rPr>
                <w:rFonts w:cs="Times New Roman" w:ascii="Times New Roman" w:hAnsi="Times New Roman"/>
                <w:sz w:val="28"/>
                <w:szCs w:val="28"/>
              </w:rPr>
              <w:t xml:space="preserve">Скорочені терміни: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2 робочі дні;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протягом 24 годин, крім вихідних та святкових днів, з моменту прийняття заяви;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протягом 2 годин, крім вихідних та святкових днів, з моменту прийняття заяви.</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10.</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Підстави для відмови</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ПІДСТАВИ ДЛЯ ВІДМОВИ У ПРИЙНЯТТІ ЗАЯВИ:</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-відсутність документа, що підтверджує оплату послуг, та у разі внесення відповідної плати не в повному обсязі</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ПІДСТАВИ ДЛЯ ЗУПИНЕННЯ РОЗГЛЯДУ ЗАЯВИ:</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подання документів для державної реєстрації прав не в повному обсязі, передбаченому законодавством;</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неподання заявником чи неотримання державним реєстратором інформації про зареєстровані до 1 січня 2013 року речові права на відповідне нерухоме майно, якщо наявність такої інформації є необхідною для державної реєстрації прав.</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ПІДСТАВИ ДЛЯ ВІДМОВИ У НАДАННІ ПОСЛУГИ:</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заявлене речове майно не підлягає державної реєстрації відповідно до Закону;</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заява про державну реєстрацію прав подана неналежною особою;</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подані документи не відповідають вимогам, встановленим Законом;</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подані документи не дають змоги встановити набуття, зміну або припинення речових прав на нерухоме майно;</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наявні суперечності між заявленими та вже зареєстрованими речовими правами на нерухоме майно;</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наявні зареєстровані обтяження речових прав на нерухоме майно;</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після завершення строку, встановленого частиною третьою статті 23 Закону (протягом 30 робочих днів з моменту отримання рішення про зупинення розгляду заяви про державну реєстрацію прав), не усунені обставини, що були підставою для прийняття рішення про зупинення розгляду заяви про державну реєстрацію прав.</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-заяву про державну реєстрацію прав в електронній формі подано особою, яка згідно із законодавством не має повноважень подавати в електронній формі;</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заявником подано ті самі документи, на підставі яких заявлене речове право вже зареєстровано у Державному реєстрі прав;</w:t>
            </w:r>
          </w:p>
          <w:p>
            <w:pPr>
              <w:pStyle w:val="NoSpacing"/>
              <w:spacing w:lineRule="auto" w:line="276"/>
              <w:rPr>
                <w:rFonts w:ascii="Times New Roman" w:hAnsi="Times New Roman" w:cs="Times New Roman"/>
                <w:sz w:val="28"/>
                <w:szCs w:val="28"/>
                <w:lang w:eastAsia="uk-UA"/>
              </w:rPr>
            </w:pPr>
            <w:r>
              <w:rPr>
                <w:rFonts w:cs="Times New Roman" w:ascii="Times New Roman" w:hAnsi="Times New Roman"/>
                <w:sz w:val="28"/>
                <w:szCs w:val="28"/>
                <w:lang w:eastAsia="uk-UA"/>
              </w:rPr>
              <w:t>- заявника, який звернувся із заявою про державну реєстрацію прав, що матиме наслідком відчуження майна, внесено до Єдиного реєстру боржників.</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11.</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Зупинення державної реєстрації прав</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eastAsia="Times New Roman" w:cs="Times New Roman"/>
                <w:color w:val="000000"/>
                <w:sz w:val="28"/>
                <w:szCs w:val="28"/>
                <w:lang w:eastAsia="uk-UA"/>
              </w:rPr>
            </w:pPr>
            <w:bookmarkStart w:id="27" w:name="n282"/>
            <w:bookmarkStart w:id="28" w:name="n281"/>
            <w:bookmarkEnd w:id="27"/>
            <w:bookmarkEnd w:id="28"/>
            <w:r>
              <w:rPr>
                <w:rFonts w:eastAsia="Times New Roman" w:cs="Times New Roman" w:ascii="Times New Roman" w:hAnsi="Times New Roman"/>
                <w:color w:val="000000"/>
                <w:sz w:val="28"/>
                <w:szCs w:val="28"/>
                <w:lang w:eastAsia="uk-UA"/>
              </w:rPr>
              <w:t>1. Проведення державної реєстрації прав зупиняється на підставі рішення суду про заборону вчинення дій, пов’язаних з державною реєстрацією речових прав, що набрало законної сили. Державний реєстратор невідкладно повідомляє про зупинення реєстрації прав заявника.</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12.</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Результат надання адміністративної послуги</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1) Рішення державного реєстратора про державну реєстрацію речових прав та їх обтяжень, витяг з Державного реєстру речових прав прав на нерухоме майно про проведену державну реєстрацію прав надаються в електронній та (за бажанням заявника) в паперовій формі;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2) рішення про відмову в державній реєстрації ;</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3) рішення про залишення заяви без розгляду у зв’язку з її відкликанням.</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13.</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color w:val="000000"/>
                <w:sz w:val="28"/>
                <w:szCs w:val="28"/>
                <w:shd w:fill="FFFFFF" w:val="clear"/>
              </w:rPr>
              <w:t>Заходи, що вживаються у разі виявлення порушення законодавства під час державної реєстрації прав</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color w:val="000000"/>
                <w:sz w:val="28"/>
                <w:szCs w:val="28"/>
              </w:rPr>
            </w:pPr>
            <w:r>
              <w:rPr>
                <w:rFonts w:cs="Times New Roman" w:ascii="Times New Roman" w:hAnsi="Times New Roman"/>
                <w:color w:val="000000"/>
                <w:sz w:val="28"/>
                <w:szCs w:val="28"/>
              </w:rPr>
              <w:t xml:space="preserve">Згідно ст. 36 </w:t>
            </w:r>
            <w:r>
              <w:rPr>
                <w:rFonts w:cs="Times New Roman" w:ascii="Times New Roman" w:hAnsi="Times New Roman"/>
                <w:sz w:val="28"/>
                <w:szCs w:val="28"/>
              </w:rPr>
              <w:t xml:space="preserve">Закону України «Про державну реєстрацію речових прав на нерухоме майно та їх обтяжень» </w:t>
            </w:r>
            <w:r>
              <w:rPr>
                <w:rFonts w:cs="Times New Roman" w:ascii="Times New Roman" w:hAnsi="Times New Roman"/>
                <w:color w:val="000000"/>
                <w:sz w:val="28"/>
                <w:szCs w:val="28"/>
              </w:rPr>
              <w:t>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pPr>
              <w:pStyle w:val="NoSpacing"/>
              <w:spacing w:lineRule="auto" w:line="276"/>
              <w:rPr>
                <w:rFonts w:ascii="Times New Roman" w:hAnsi="Times New Roman" w:cs="Times New Roman"/>
                <w:color w:val="000000"/>
                <w:sz w:val="28"/>
                <w:szCs w:val="28"/>
              </w:rPr>
            </w:pPr>
            <w:bookmarkStart w:id="29" w:name="n393"/>
            <w:bookmarkEnd w:id="29"/>
            <w:r>
              <w:rPr>
                <w:rFonts w:cs="Times New Roman" w:ascii="Times New Roman" w:hAnsi="Times New Roman"/>
                <w:color w:val="000000"/>
                <w:sz w:val="28"/>
                <w:szCs w:val="28"/>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14.</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Порядок оскарження</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color w:val="000000"/>
                <w:sz w:val="28"/>
                <w:szCs w:val="28"/>
                <w:shd w:fill="FFFFFF" w:val="clear"/>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trPr>
          <w:trHeight w:val="1694"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Примітка</w:t>
            </w:r>
          </w:p>
        </w:tc>
        <w:tc>
          <w:tcPr>
            <w:tcW w:w="5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При подачі документів обов’язковою умовою є наявність оригіналів документів, які подаються, та присутність всіх власників нерухомого майна</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ВІДПОВІДАЛЬНІСТЬ ЗА ДОСТОВІРНІСТЬ ВІДОМОСТЕЙ, ЯКІ МІСТЯТЬСЯ У ЗАЯВІ та ІНШИХ ПОДАНИХ ДОКУМЕНТАХ, НЕСЕ ЗАЯВНИК</w:t>
            </w:r>
          </w:p>
        </w:tc>
      </w:tr>
    </w:tbl>
    <w:p>
      <w:pPr>
        <w:pStyle w:val="NoSpacing"/>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18be"/>
    <w:pPr>
      <w:widowControl/>
      <w:bidi w:val="0"/>
      <w:spacing w:lineRule="auto" w:line="276" w:before="0" w:after="200"/>
      <w:jc w:val="left"/>
    </w:pPr>
    <w:rPr>
      <w:rFonts w:ascii="Calibri" w:hAnsi="Calibri" w:eastAsia="Calibri" w:cs=""/>
      <w:color w:val="00000A"/>
      <w:sz w:val="22"/>
      <w:szCs w:val="22"/>
      <w:lang w:val="uk-UA" w:eastAsia="en-US" w:bidi="ar-SA"/>
    </w:rPr>
  </w:style>
  <w:style w:type="paragraph" w:styleId="1" w:customStyle="1">
    <w:name w:val="Heading 1"/>
    <w:basedOn w:val="Normal"/>
    <w:link w:val="Heading1"/>
    <w:qFormat/>
    <w:rsid w:val="00db0488"/>
    <w:pPr>
      <w:keepNext/>
      <w:spacing w:lineRule="auto" w:line="240" w:before="0" w:after="0"/>
      <w:outlineLvl w:val="0"/>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db0488"/>
    <w:rPr>
      <w:rFonts w:ascii="Times New Roman" w:hAnsi="Times New Roman" w:eastAsia="Times New Roman" w:cs="Times New Roman"/>
      <w:b/>
      <w:bCs/>
      <w:sz w:val="24"/>
      <w:szCs w:val="24"/>
      <w:lang w:eastAsia="ru-RU"/>
    </w:rPr>
  </w:style>
  <w:style w:type="character" w:styleId="Style13" w:customStyle="1">
    <w:name w:val="Нижний колонтитул Знак"/>
    <w:basedOn w:val="DefaultParagraphFont"/>
    <w:qFormat/>
    <w:rsid w:val="00db0488"/>
    <w:rPr>
      <w:rFonts w:ascii="Times New Roman" w:hAnsi="Times New Roman" w:eastAsia="Times New Roman" w:cs="Times New Roman"/>
      <w:sz w:val="24"/>
      <w:szCs w:val="24"/>
      <w:lang w:val="ru-RU" w:eastAsia="ar-SA"/>
    </w:rPr>
  </w:style>
  <w:style w:type="character" w:styleId="Style14" w:customStyle="1">
    <w:name w:val="Текст сноски Знак"/>
    <w:basedOn w:val="DefaultParagraphFont"/>
    <w:qFormat/>
    <w:rsid w:val="00db0488"/>
    <w:rPr>
      <w:rFonts w:ascii="Times New Roman" w:hAnsi="Times New Roman" w:eastAsia="Times New Roman" w:cs="Times New Roman"/>
      <w:sz w:val="20"/>
      <w:szCs w:val="20"/>
      <w:lang w:val="ru-RU" w:eastAsia="ar-SA"/>
    </w:rPr>
  </w:style>
  <w:style w:type="character" w:styleId="HTML" w:customStyle="1">
    <w:name w:val="Стандартный HTML Знак"/>
    <w:basedOn w:val="DefaultParagraphFont"/>
    <w:link w:val="HTML"/>
    <w:qFormat/>
    <w:rsid w:val="00db0488"/>
    <w:rPr>
      <w:rFonts w:ascii="Courier New" w:hAnsi="Courier New" w:eastAsia="Courier New" w:cs="Courier New"/>
      <w:sz w:val="20"/>
      <w:szCs w:val="20"/>
      <w:lang w:val="ru-RU" w:eastAsia="ru-RU"/>
    </w:rPr>
  </w:style>
  <w:style w:type="character" w:styleId="Style15" w:customStyle="1">
    <w:name w:val="Гіперпосилання"/>
    <w:rsid w:val="004536dc"/>
    <w:rPr>
      <w:color w:val="0000FF"/>
      <w:u w:val="single"/>
    </w:rPr>
  </w:style>
  <w:style w:type="character" w:styleId="Rvts9" w:customStyle="1">
    <w:name w:val="rvts9"/>
    <w:basedOn w:val="DefaultParagraphFont"/>
    <w:qFormat/>
    <w:rsid w:val="008430da"/>
    <w:rPr/>
  </w:style>
  <w:style w:type="character" w:styleId="Appleconvertedspace" w:customStyle="1">
    <w:name w:val="apple-converted-space"/>
    <w:basedOn w:val="DefaultParagraphFont"/>
    <w:qFormat/>
    <w:rsid w:val="008430da"/>
    <w:rPr/>
  </w:style>
  <w:style w:type="character" w:styleId="Strong">
    <w:name w:val="Strong"/>
    <w:basedOn w:val="DefaultParagraphFont"/>
    <w:qFormat/>
    <w:rsid w:val="00ad5b6b"/>
    <w:rPr>
      <w:b/>
      <w:bCs/>
    </w:rPr>
  </w:style>
  <w:style w:type="character" w:styleId="Style16" w:customStyle="1">
    <w:name w:val="Виділення жирним"/>
    <w:basedOn w:val="DefaultParagraphFont"/>
    <w:qFormat/>
    <w:rsid w:val="00ad5b6b"/>
    <w:rPr>
      <w:b/>
      <w:bCs/>
    </w:rPr>
  </w:style>
  <w:style w:type="paragraph" w:styleId="Style17" w:customStyle="1">
    <w:name w:val="Заголовок"/>
    <w:basedOn w:val="Normal"/>
    <w:next w:val="Style18"/>
    <w:qFormat/>
    <w:rsid w:val="00ad5b6b"/>
    <w:pPr>
      <w:keepNext/>
      <w:spacing w:before="240" w:after="120"/>
    </w:pPr>
    <w:rPr>
      <w:rFonts w:ascii="Liberation Sans" w:hAnsi="Liberation Sans" w:eastAsia="Microsoft YaHei" w:cs="Arial"/>
      <w:sz w:val="28"/>
      <w:szCs w:val="28"/>
    </w:rPr>
  </w:style>
  <w:style w:type="paragraph" w:styleId="Style18">
    <w:name w:val="Body Text"/>
    <w:basedOn w:val="Normal"/>
    <w:rsid w:val="00ad5b6b"/>
    <w:pPr>
      <w:spacing w:lineRule="auto" w:line="288" w:before="0" w:after="140"/>
    </w:pPr>
    <w:rPr/>
  </w:style>
  <w:style w:type="paragraph" w:styleId="Style19">
    <w:name w:val="List"/>
    <w:basedOn w:val="Style18"/>
    <w:rsid w:val="00ad5b6b"/>
    <w:pPr/>
    <w:rPr>
      <w:rFonts w:cs="Arial"/>
    </w:rPr>
  </w:style>
  <w:style w:type="paragraph" w:styleId="Style20" w:customStyle="1">
    <w:name w:val="Caption"/>
    <w:basedOn w:val="Normal"/>
    <w:qFormat/>
    <w:rsid w:val="00ad5b6b"/>
    <w:pPr>
      <w:suppressLineNumbers/>
      <w:spacing w:before="120" w:after="120"/>
    </w:pPr>
    <w:rPr>
      <w:rFonts w:cs="Arial"/>
      <w:i/>
      <w:iCs/>
      <w:sz w:val="24"/>
      <w:szCs w:val="24"/>
    </w:rPr>
  </w:style>
  <w:style w:type="paragraph" w:styleId="Style21" w:customStyle="1">
    <w:name w:val="Покажчик"/>
    <w:basedOn w:val="Normal"/>
    <w:qFormat/>
    <w:rsid w:val="00ad5b6b"/>
    <w:pPr>
      <w:suppressLineNumbers/>
    </w:pPr>
    <w:rPr>
      <w:rFonts w:cs="Arial"/>
    </w:rPr>
  </w:style>
  <w:style w:type="paragraph" w:styleId="ListParagraph">
    <w:name w:val="List Paragraph"/>
    <w:basedOn w:val="Normal"/>
    <w:uiPriority w:val="34"/>
    <w:qFormat/>
    <w:rsid w:val="00db0488"/>
    <w:pPr>
      <w:spacing w:before="0" w:after="200"/>
      <w:ind w:left="720" w:hanging="0"/>
      <w:contextualSpacing/>
    </w:pPr>
    <w:rPr/>
  </w:style>
  <w:style w:type="paragraph" w:styleId="Style22" w:customStyle="1">
    <w:name w:val="Текст в заданном формате"/>
    <w:basedOn w:val="Normal"/>
    <w:qFormat/>
    <w:rsid w:val="00db0488"/>
    <w:pPr>
      <w:tabs>
        <w:tab w:val="left" w:pos="708" w:leader="none"/>
      </w:tabs>
      <w:suppressAutoHyphens w:val="true"/>
      <w:spacing w:lineRule="auto" w:line="240" w:before="0" w:after="0"/>
    </w:pPr>
    <w:rPr>
      <w:rFonts w:ascii="Times New Roman" w:hAnsi="Times New Roman" w:eastAsia="NSimSun" w:cs="Courier New"/>
      <w:sz w:val="20"/>
      <w:szCs w:val="20"/>
      <w:lang w:eastAsia="hi-IN" w:bidi="hi-IN"/>
    </w:rPr>
  </w:style>
  <w:style w:type="paragraph" w:styleId="NormalWeb">
    <w:name w:val="Normal (Web)"/>
    <w:basedOn w:val="Normal"/>
    <w:uiPriority w:val="99"/>
    <w:unhideWhenUsed/>
    <w:qFormat/>
    <w:rsid w:val="00db0488"/>
    <w:pPr>
      <w:spacing w:lineRule="auto" w:line="240" w:beforeAutospacing="1" w:after="119"/>
    </w:pPr>
    <w:rPr>
      <w:rFonts w:ascii="Times New Roman" w:hAnsi="Times New Roman" w:eastAsia="Times New Roman" w:cs="Times New Roman"/>
      <w:sz w:val="24"/>
      <w:szCs w:val="24"/>
      <w:lang w:eastAsia="uk-UA"/>
    </w:rPr>
  </w:style>
  <w:style w:type="paragraph" w:styleId="Style23" w:customStyle="1">
    <w:name w:val="Footer"/>
    <w:basedOn w:val="Normal"/>
    <w:rsid w:val="00db0488"/>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val="ru-RU" w:eastAsia="ar-SA"/>
    </w:rPr>
  </w:style>
  <w:style w:type="paragraph" w:styleId="Footnotetext">
    <w:name w:val="footnote text"/>
    <w:basedOn w:val="Normal"/>
    <w:qFormat/>
    <w:rsid w:val="00db0488"/>
    <w:pPr>
      <w:suppressAutoHyphens w:val="true"/>
      <w:spacing w:lineRule="auto" w:line="240" w:before="0" w:after="0"/>
    </w:pPr>
    <w:rPr>
      <w:rFonts w:ascii="Times New Roman" w:hAnsi="Times New Roman" w:eastAsia="Times New Roman" w:cs="Times New Roman"/>
      <w:sz w:val="20"/>
      <w:szCs w:val="20"/>
      <w:lang w:val="ru-RU" w:eastAsia="ar-SA"/>
    </w:rPr>
  </w:style>
  <w:style w:type="paragraph" w:styleId="HTMLPreformatted">
    <w:name w:val="HTML Preformatted"/>
    <w:basedOn w:val="Normal"/>
    <w:qFormat/>
    <w:rsid w:val="00db048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val="ru-RU" w:eastAsia="ru-RU"/>
    </w:rPr>
  </w:style>
  <w:style w:type="paragraph" w:styleId="Rvps2" w:customStyle="1">
    <w:name w:val="rvps2"/>
    <w:basedOn w:val="Normal"/>
    <w:qFormat/>
    <w:rsid w:val="00ae75d0"/>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NoSpacing">
    <w:name w:val="No Spacing"/>
    <w:uiPriority w:val="1"/>
    <w:qFormat/>
    <w:rsid w:val="005c65a0"/>
    <w:pPr>
      <w:widowControl/>
      <w:bidi w:val="0"/>
      <w:jc w:val="left"/>
    </w:pPr>
    <w:rPr>
      <w:rFonts w:ascii="Calibri" w:hAnsi="Calibri" w:eastAsia="Calibri" w:cs=""/>
      <w:color w:val="00000A"/>
      <w:sz w:val="22"/>
      <w:szCs w:val="22"/>
      <w:lang w:val="uk-UA" w:eastAsia="en-US" w:bidi="ar-SA"/>
    </w:rPr>
  </w:style>
  <w:style w:type="paragraph" w:styleId="12" w:customStyle="1">
    <w:name w:val="Без интервала1"/>
    <w:qFormat/>
    <w:rsid w:val="00ad5b6b"/>
    <w:pPr>
      <w:widowControl w:val="false"/>
      <w:suppressAutoHyphens w:val="true"/>
      <w:bidi w:val="0"/>
      <w:jc w:val="both"/>
    </w:pPr>
    <w:rPr>
      <w:rFonts w:ascii="Times New Roman" w:hAnsi="Times New Roman" w:eastAsia="Times New Roman" w:cs="Times New Roman"/>
      <w:color w:val="00000A"/>
      <w:sz w:val="24"/>
      <w:szCs w:val="28"/>
      <w:lang w:val="uk-UA" w:eastAsia="hi-I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59"/>
    <w:rsid w:val="00db048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LibreOffice/5.2.1.2$Windows_x86 LibreOffice_project/31dd62db80d4e60af04904455ec9c9219178d620</Application>
  <Pages>8</Pages>
  <Words>1542</Words>
  <Characters>9970</Characters>
  <CharactersWithSpaces>11528</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2016-05-16T13:46:00Z</dcterms:created>
  <dc:creator>User</dc:creator>
  <dc:description/>
  <dc:language>uk-UA</dc:language>
  <cp:lastModifiedBy/>
  <cp:lastPrinted>2017-07-13T10:51:00Z</cp:lastPrinted>
  <dcterms:modified xsi:type="dcterms:W3CDTF">2017-10-24T15:13:20Z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