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6" w:type="dxa"/>
        <w:tblInd w:w="-106" w:type="dxa"/>
        <w:tblLook w:val="00A0"/>
      </w:tblPr>
      <w:tblGrid>
        <w:gridCol w:w="10279"/>
        <w:gridCol w:w="4677"/>
      </w:tblGrid>
      <w:tr w:rsidR="000D138B" w:rsidRPr="003E495D" w:rsidTr="00CB1227">
        <w:tc>
          <w:tcPr>
            <w:tcW w:w="10279" w:type="dxa"/>
          </w:tcPr>
          <w:p w:rsidR="000D138B" w:rsidRPr="003E495D" w:rsidRDefault="000D138B" w:rsidP="00CB1227">
            <w:pPr>
              <w:jc w:val="both"/>
            </w:pPr>
          </w:p>
        </w:tc>
        <w:tc>
          <w:tcPr>
            <w:tcW w:w="4677" w:type="dxa"/>
          </w:tcPr>
          <w:p w:rsidR="000D138B" w:rsidRPr="003E495D" w:rsidRDefault="000D138B" w:rsidP="00CB1227">
            <w:pPr>
              <w:tabs>
                <w:tab w:val="left" w:pos="161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0D138B" w:rsidRPr="003E495D" w:rsidRDefault="000D138B" w:rsidP="00CB122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Розпорядження голови державної адміністрації – начальника військової адміністрації</w:t>
            </w:r>
          </w:p>
          <w:p w:rsidR="000D138B" w:rsidRPr="003E495D" w:rsidRDefault="000D138B" w:rsidP="00CB1227">
            <w:pPr>
              <w:tabs>
                <w:tab w:val="left" w:pos="3221"/>
              </w:tabs>
              <w:spacing w:after="0" w:line="240" w:lineRule="auto"/>
              <w:ind w:left="-108"/>
              <w:jc w:val="both"/>
            </w:pPr>
            <w:r w:rsidRPr="002F7840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31.05.2023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Pr="002F7840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52</w:t>
            </w:r>
            <w:r w:rsidRPr="002F7840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0D138B" w:rsidRPr="002F7840" w:rsidRDefault="000D138B" w:rsidP="006F5398">
      <w:pPr>
        <w:keepNext/>
        <w:keepLines/>
        <w:spacing w:after="0" w:line="22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840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0D138B" w:rsidRPr="00A13287" w:rsidRDefault="000D138B" w:rsidP="006F5398">
      <w:pPr>
        <w:keepNext/>
        <w:keepLines/>
        <w:spacing w:after="0" w:line="226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A13287">
        <w:rPr>
          <w:rFonts w:ascii="Times New Roman" w:hAnsi="Times New Roman"/>
          <w:sz w:val="28"/>
          <w:szCs w:val="28"/>
          <w:lang w:eastAsia="ru-RU"/>
        </w:rPr>
        <w:t xml:space="preserve">основних заходів цивільного захисту </w:t>
      </w:r>
      <w:r>
        <w:rPr>
          <w:rFonts w:ascii="Times New Roman" w:hAnsi="Times New Roman"/>
          <w:sz w:val="28"/>
          <w:szCs w:val="28"/>
          <w:lang w:eastAsia="uk-UA"/>
        </w:rPr>
        <w:t>Ужгородського району</w:t>
      </w:r>
      <w:r w:rsidRPr="00A13287">
        <w:rPr>
          <w:rFonts w:ascii="Times New Roman" w:hAnsi="Times New Roman"/>
          <w:sz w:val="28"/>
          <w:szCs w:val="28"/>
          <w:lang w:eastAsia="uk-UA"/>
        </w:rPr>
        <w:t xml:space="preserve"> на 2023 рік</w:t>
      </w:r>
    </w:p>
    <w:p w:rsidR="000D138B" w:rsidRPr="001941B6" w:rsidRDefault="000D138B" w:rsidP="006F5398">
      <w:pPr>
        <w:keepNext/>
        <w:keepLines/>
        <w:spacing w:after="0" w:line="226" w:lineRule="auto"/>
        <w:jc w:val="center"/>
        <w:rPr>
          <w:rFonts w:ascii="Times New Roman" w:hAnsi="Times New Roman"/>
          <w:sz w:val="16"/>
          <w:szCs w:val="16"/>
          <w:lang w:eastAsia="uk-UA"/>
        </w:rPr>
      </w:pPr>
    </w:p>
    <w:tbl>
      <w:tblPr>
        <w:tblW w:w="50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3768"/>
        <w:gridCol w:w="5407"/>
        <w:gridCol w:w="1972"/>
        <w:gridCol w:w="2972"/>
      </w:tblGrid>
      <w:tr w:rsidR="000D138B" w:rsidRPr="003E495D" w:rsidTr="00FD6ACC">
        <w:trPr>
          <w:trHeight w:val="287"/>
          <w:tblHeader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127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Найменування заходів</w:t>
            </w:r>
          </w:p>
        </w:tc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за виконання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Строки виконання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Показники (індикатори) виконання заходу</w:t>
            </w:r>
          </w:p>
        </w:tc>
      </w:tr>
      <w:tr w:rsidR="000D138B" w:rsidRPr="003E495D" w:rsidTr="00FD6ACC">
        <w:trPr>
          <w:trHeight w:val="377"/>
        </w:trPr>
        <w:tc>
          <w:tcPr>
            <w:tcW w:w="5000" w:type="pct"/>
            <w:gridSpan w:val="5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І. Заходи щодо удосконалення територіальної підсистеми єдиної державної системи цивільного захисту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Закарпатської області</w:t>
            </w:r>
          </w:p>
        </w:tc>
      </w:tr>
      <w:tr w:rsidR="000D138B" w:rsidRPr="003E495D" w:rsidTr="00FD6ACC">
        <w:trPr>
          <w:trHeight w:val="945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8" w:type="pct"/>
            <w:shd w:val="clear" w:color="auto" w:fill="FFFFFF"/>
          </w:tcPr>
          <w:p w:rsidR="000D138B" w:rsidRPr="008D2E1E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1E">
              <w:rPr>
                <w:rFonts w:ascii="Times New Roman" w:hAnsi="Times New Roman"/>
                <w:sz w:val="28"/>
                <w:szCs w:val="28"/>
              </w:rPr>
              <w:t>Створення та забезпечення функціонування класів безпеки у закладах освіти</w:t>
            </w:r>
          </w:p>
        </w:tc>
        <w:tc>
          <w:tcPr>
            <w:tcW w:w="1834" w:type="pct"/>
            <w:shd w:val="clear" w:color="auto" w:fill="FFFFFF"/>
          </w:tcPr>
          <w:p w:rsidR="000D138B" w:rsidRPr="00A52D65" w:rsidRDefault="000D138B" w:rsidP="00BA0E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культури, освіти, молоді та спорту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 – 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Ужгородське районне управління ГУ ДСНС України у Закарпатській області (за згодою),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>Ужгородське районне управління поліції Головного управління національної поліції у Закарпатській області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(за згодою), виконавчі органи місцевих рад (за згодою)</w:t>
            </w:r>
          </w:p>
        </w:tc>
        <w:tc>
          <w:tcPr>
            <w:tcW w:w="669" w:type="pct"/>
            <w:shd w:val="clear" w:color="auto" w:fill="FFFFFF"/>
          </w:tcPr>
          <w:p w:rsidR="000D138B" w:rsidRPr="00A52D65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008" w:type="pct"/>
            <w:shd w:val="clear" w:color="auto" w:fill="FFFFFF"/>
          </w:tcPr>
          <w:p w:rsidR="000D138B" w:rsidRPr="00DE2A66" w:rsidRDefault="000D138B" w:rsidP="00FD6AC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66">
              <w:rPr>
                <w:rFonts w:ascii="Times New Roman" w:hAnsi="Times New Roman"/>
                <w:sz w:val="28"/>
                <w:szCs w:val="28"/>
              </w:rPr>
              <w:t xml:space="preserve">Створено класи </w:t>
            </w:r>
            <w:r>
              <w:rPr>
                <w:rFonts w:ascii="Times New Roman" w:hAnsi="Times New Roman"/>
                <w:sz w:val="28"/>
                <w:szCs w:val="28"/>
              </w:rPr>
              <w:t>безпеки відповідно до регіонального плану та відповідних районних (місце</w:t>
            </w:r>
            <w:r w:rsidRPr="00DE2A66">
              <w:rPr>
                <w:rFonts w:ascii="Times New Roman" w:hAnsi="Times New Roman"/>
                <w:sz w:val="28"/>
                <w:szCs w:val="28"/>
              </w:rPr>
              <w:t>вих) планів заходів щодо створення класів безпеки на 202</w:t>
            </w:r>
            <w:r>
              <w:rPr>
                <w:rFonts w:ascii="Times New Roman" w:hAnsi="Times New Roman"/>
                <w:sz w:val="28"/>
                <w:szCs w:val="28"/>
              </w:rPr>
              <w:t>3 рік та забезпечено їх функціо</w:t>
            </w:r>
            <w:r w:rsidRPr="00DE2A66">
              <w:rPr>
                <w:rFonts w:ascii="Times New Roman" w:hAnsi="Times New Roman"/>
                <w:sz w:val="28"/>
                <w:szCs w:val="28"/>
              </w:rPr>
              <w:t>нування</w:t>
            </w:r>
          </w:p>
        </w:tc>
      </w:tr>
      <w:tr w:rsidR="000D138B" w:rsidRPr="003E495D" w:rsidTr="00FD6ACC">
        <w:trPr>
          <w:trHeight w:val="945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8" w:type="pct"/>
            <w:shd w:val="clear" w:color="auto" w:fill="FFFFFF"/>
          </w:tcPr>
          <w:p w:rsidR="000D138B" w:rsidRPr="008D2E1E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1E">
              <w:rPr>
                <w:rFonts w:ascii="Times New Roman" w:hAnsi="Times New Roman"/>
                <w:sz w:val="28"/>
                <w:szCs w:val="28"/>
              </w:rPr>
              <w:t>Забезпечення утримання у постійній готовності до використання за призначенням захисних споруд цивільного захисту, призначених для укриття персоналу суб’єктів господарювання, віднесених до відповідних категорій ци</w:t>
            </w:r>
            <w:r>
              <w:rPr>
                <w:rFonts w:ascii="Times New Roman" w:hAnsi="Times New Roman"/>
                <w:sz w:val="28"/>
                <w:szCs w:val="28"/>
              </w:rPr>
              <w:t>вільного захисту, об’єктів критич</w:t>
            </w:r>
            <w:r w:rsidRPr="008D2E1E">
              <w:rPr>
                <w:rFonts w:ascii="Times New Roman" w:hAnsi="Times New Roman"/>
                <w:sz w:val="28"/>
                <w:szCs w:val="28"/>
              </w:rPr>
              <w:t>ної інфраструктури, закладів охорони здоров’я</w:t>
            </w:r>
          </w:p>
        </w:tc>
        <w:tc>
          <w:tcPr>
            <w:tcW w:w="1834" w:type="pct"/>
            <w:shd w:val="clear" w:color="auto" w:fill="FFFFFF"/>
          </w:tcPr>
          <w:p w:rsidR="000D138B" w:rsidRPr="00DB0A2A" w:rsidRDefault="000D138B" w:rsidP="00212AF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суб’єкти господарювання – балансоутримувачі захисних споруд цивільного захисту (за 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 районної державної     адміністрації – районної військової адміністрації</w:t>
            </w:r>
          </w:p>
        </w:tc>
        <w:tc>
          <w:tcPr>
            <w:tcW w:w="669" w:type="pct"/>
            <w:shd w:val="clear" w:color="auto" w:fill="FFFFFF"/>
          </w:tcPr>
          <w:p w:rsidR="000D138B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008" w:type="pct"/>
            <w:shd w:val="clear" w:color="auto" w:fill="FFFFFF"/>
          </w:tcPr>
          <w:p w:rsidR="000D138B" w:rsidRPr="00A13287" w:rsidRDefault="000D138B" w:rsidP="00FC1868">
            <w:pPr>
              <w:tabs>
                <w:tab w:val="left" w:pos="709"/>
                <w:tab w:val="right" w:pos="268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Забезпечено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ab/>
              <w:t>постійну готовність до вико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ристання за призна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ченням захисних споруд вищезазначених суб’єктів господарювання</w:t>
            </w:r>
          </w:p>
        </w:tc>
      </w:tr>
      <w:tr w:rsidR="000D138B" w:rsidRPr="003E495D" w:rsidTr="00FD6ACC">
        <w:trPr>
          <w:trHeight w:val="3736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138B" w:rsidRPr="00A13287" w:rsidRDefault="000D138B" w:rsidP="004E2A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Вжиття заходів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з нарощування фонду захисних споруд </w:t>
            </w:r>
            <w:r>
              <w:rPr>
                <w:rFonts w:ascii="Times New Roman" w:hAnsi="Times New Roman"/>
                <w:sz w:val="28"/>
                <w:szCs w:val="28"/>
              </w:rPr>
              <w:t>цивіль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ного захисту шляхом створення об’єктів фонду захисних споруд цивільного захисту,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у тому числі </w:t>
            </w:r>
            <w:r>
              <w:rPr>
                <w:rFonts w:ascii="Times New Roman" w:hAnsi="Times New Roman"/>
                <w:sz w:val="28"/>
                <w:szCs w:val="28"/>
              </w:rPr>
              <w:t>швидкоспоруджу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ваних,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та споруд подвійного призначення під час будівництва, огляду (обстеження) та </w:t>
            </w:r>
            <w:r>
              <w:rPr>
                <w:rFonts w:ascii="Times New Roman" w:hAnsi="Times New Roman"/>
                <w:sz w:val="28"/>
                <w:szCs w:val="28"/>
              </w:rPr>
              <w:t>взяття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на облік як споруд подвійного призначення та найпростіших укриттів об’єктів різного призначення, що експлуатуються, облаштування фортифікаційних споруд як найпростіших укриттів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3807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балансоутримувачі захисних споруд цивільного захисту (за 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    адміністрації – районної військової адміністрації: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культури, 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молоді та спорту</w:t>
            </w:r>
            <w:r w:rsidRPr="00212AF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 питань цивільного захисту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" w:type="pct"/>
            <w:shd w:val="clear" w:color="auto" w:fill="FFFFFF"/>
          </w:tcPr>
          <w:p w:rsidR="000D138B" w:rsidRPr="003E495D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 xml:space="preserve">До 24 грудня </w:t>
            </w:r>
          </w:p>
        </w:tc>
        <w:tc>
          <w:tcPr>
            <w:tcW w:w="1008" w:type="pct"/>
            <w:shd w:val="clear" w:color="auto" w:fill="FFFFFF"/>
          </w:tcPr>
          <w:p w:rsidR="000D138B" w:rsidRPr="003E495D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Забезпечено створення об’єктів фонду захисних споруд цивільного захисту, необхідних для укриття 100 відсотків населення</w:t>
            </w:r>
          </w:p>
        </w:tc>
      </w:tr>
      <w:tr w:rsidR="000D138B" w:rsidRPr="003E495D" w:rsidTr="00FD6ACC">
        <w:trPr>
          <w:trHeight w:val="945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Інформування населення про місця розташування захисних споруд цивільного захисту та інших споруд, призначених для його укриття на випадок виникнення надзвичайних ситуацій, порядок їх заповнення та поводження у них із урахуванням доступності таких споруд для осіб з інвалідністю та інших маломобільних груп населення, а також стан їх готовності до використання за призначенням.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Створення загальнодоступних інформаційних ресурсів із зазначеного питання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212AF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иконавчі органи місцевих рад (за згодою), балансоутримувачі захисних споруд цивільного захисту (за 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    адміністрації – районної військової адміністрації: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 w:rsidRPr="00B34C1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містобудування та архітектури</w:t>
            </w:r>
          </w:p>
        </w:tc>
        <w:tc>
          <w:tcPr>
            <w:tcW w:w="669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 xml:space="preserve">До 24 грудня </w:t>
            </w:r>
          </w:p>
        </w:tc>
        <w:tc>
          <w:tcPr>
            <w:tcW w:w="1008" w:type="pct"/>
            <w:shd w:val="clear" w:color="auto" w:fill="FFFFFF"/>
          </w:tcPr>
          <w:p w:rsidR="000D138B" w:rsidRPr="00A13287" w:rsidRDefault="000D138B" w:rsidP="00FD6AC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Поінформовано населення; розміщено інформацію про фонд захисних споруд </w:t>
            </w:r>
            <w:r>
              <w:rPr>
                <w:rFonts w:ascii="Times New Roman" w:hAnsi="Times New Roman"/>
                <w:sz w:val="28"/>
                <w:szCs w:val="28"/>
              </w:rPr>
              <w:t>цивіль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ного захисту на офіційних вебресурсах місцевих органів виконавчої влади, органів місцевого самоврядування</w:t>
            </w:r>
          </w:p>
        </w:tc>
      </w:tr>
      <w:tr w:rsidR="000D138B" w:rsidRPr="003E495D" w:rsidTr="001941B6">
        <w:trPr>
          <w:trHeight w:val="614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Завершення створення при органах місцевого </w:t>
            </w:r>
            <w:r>
              <w:rPr>
                <w:rFonts w:ascii="Times New Roman" w:hAnsi="Times New Roman"/>
                <w:sz w:val="28"/>
                <w:szCs w:val="28"/>
              </w:rPr>
              <w:t>самовряду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вання консультаційних пунктів з питань цивільного захисту та призначення осіб, відповідальних за організацію їх роботи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EF7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ІІ квартал 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7069B8">
            <w:pPr>
              <w:tabs>
                <w:tab w:val="left" w:pos="709"/>
                <w:tab w:val="left" w:pos="326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Створено консультаційні пункти при кожній сільській, селищній, міській раді, призначено відповідальних працівників; забезпечено діяльність консультаційних пунктів з інформування населення про надзвичайні ситуації та методи реагування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разі їх виникнення</w:t>
            </w:r>
          </w:p>
        </w:tc>
      </w:tr>
      <w:tr w:rsidR="000D138B" w:rsidRPr="003E495D" w:rsidTr="00FD6ACC">
        <w:trPr>
          <w:trHeight w:val="756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Забезпечення придбання засобів хімічного захисту для: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  <w:tab w:val="left" w:pos="326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Накопичено засоби хімічного захисту в розмірі:</w:t>
            </w:r>
          </w:p>
        </w:tc>
      </w:tr>
      <w:tr w:rsidR="000D138B" w:rsidRPr="003E495D" w:rsidTr="00FD6ACC">
        <w:trPr>
          <w:trHeight w:val="614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персоналу хімічно небезпечних об’єктів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Підприємства, установи та організації, що відносяться до хімічно небезпечних об’єктів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25 грудня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709"/>
                <w:tab w:val="left" w:pos="326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100 відсотків потреби</w:t>
            </w:r>
          </w:p>
        </w:tc>
      </w:tr>
      <w:tr w:rsidR="000D138B" w:rsidRPr="003E495D" w:rsidTr="00FD6ACC">
        <w:trPr>
          <w:trHeight w:val="829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працівників підприємств, розташованих у зоні можливого хімічного забруднення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Підприємства, установи та організації, що </w:t>
            </w:r>
            <w:r w:rsidRPr="00A132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розташовані у зоні можливого хімічного забруднення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25 грудня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709"/>
                <w:tab w:val="left" w:pos="326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Не менше 85 відсотків потреби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непрацюючого населення, яке проживає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прогнозованих зонах хімічного забруднення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7069B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 населення яких проживає у прогнозованих зонах хімічного забруднення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спільно із суб’єктами господарювання – власниками хімічно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небезпечних об’єктів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До25 грудня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  <w:tab w:val="left" w:pos="326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У прогнозованих зонах хімічного забруднення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не менше 55 відсотків потреби</w:t>
            </w:r>
          </w:p>
        </w:tc>
      </w:tr>
      <w:tr w:rsidR="000D138B" w:rsidRPr="003E495D" w:rsidTr="00FD6ACC">
        <w:trPr>
          <w:trHeight w:val="70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Завершення створення: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ланок територіальних підсистем єдиної державної системи цивільного захисту та їх субланок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    адміністрації – районної військової адміністрації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01 червня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Створено 100 відсотків ланок територіальних підсистем єдиної державної системи </w:t>
            </w:r>
            <w:r>
              <w:rPr>
                <w:rFonts w:ascii="Times New Roman" w:hAnsi="Times New Roman"/>
                <w:sz w:val="28"/>
                <w:szCs w:val="28"/>
              </w:rPr>
              <w:t>цивіль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ного захисту та їх субланок; затверджено положення про них</w:t>
            </w:r>
          </w:p>
        </w:tc>
      </w:tr>
      <w:tr w:rsidR="000D138B" w:rsidRPr="003E495D" w:rsidTr="00FD6ACC">
        <w:trPr>
          <w:trHeight w:val="756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територіальних формувань цивільного захисту місцевого та регіонального рівнів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суб’єкти господарювання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    адміністрації – районної військової адміністрації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25 грудня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Створено відповідні формування цивільного захист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всіх рівнів та затверджено положення про них</w:t>
            </w:r>
          </w:p>
        </w:tc>
      </w:tr>
      <w:tr w:rsidR="000D138B" w:rsidRPr="003E495D" w:rsidTr="00FD6ACC">
        <w:trPr>
          <w:trHeight w:val="175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Поновлення (уточнення) планів: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913F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1)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проведення заходів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з евакуації населення (працівників), матеріальних і культурних цінностей у разі загрози або виникненн</w:t>
            </w:r>
            <w:r>
              <w:rPr>
                <w:rFonts w:ascii="Times New Roman" w:hAnsi="Times New Roman"/>
                <w:sz w:val="28"/>
                <w:szCs w:val="28"/>
              </w:rPr>
              <w:t>я надзвичайних ситуацій (району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, територіальних громад)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    адміністрації – районної військової адміністрації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  <w:tab w:val="left" w:pos="312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Поновлено (уточнен</w:t>
            </w:r>
            <w:r>
              <w:rPr>
                <w:rFonts w:ascii="Times New Roman" w:hAnsi="Times New Roman"/>
                <w:sz w:val="28"/>
                <w:szCs w:val="28"/>
              </w:rPr>
              <w:t>о та затверджено) плани (району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і територіальних громад) проведення заходів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з евакуації населення (працівників), матеріальних і культурних цінностей</w:t>
            </w:r>
          </w:p>
        </w:tc>
      </w:tr>
      <w:tr w:rsidR="000D138B" w:rsidRPr="003E495D" w:rsidTr="00FD6ACC">
        <w:trPr>
          <w:trHeight w:val="635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цивільного захисту на особливий період: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, територіальних громад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    адміністрації – районної військової адміністрації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13287">
              <w:rPr>
                <w:rFonts w:ascii="Times New Roman" w:hAnsi="Times New Roman"/>
                <w:bCs/>
                <w:sz w:val="28"/>
                <w:szCs w:val="28"/>
              </w:rPr>
              <w:t>о 01 червня</w:t>
            </w:r>
          </w:p>
        </w:tc>
        <w:tc>
          <w:tcPr>
            <w:tcW w:w="1008" w:type="pct"/>
          </w:tcPr>
          <w:p w:rsidR="000D138B" w:rsidRPr="00A13287" w:rsidRDefault="000D138B" w:rsidP="00FC69B7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Поновлено (уточнено та затверджено) плани цивільного зах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исту на особливий період району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територіальних громад </w:t>
            </w:r>
          </w:p>
        </w:tc>
      </w:tr>
      <w:tr w:rsidR="000D138B" w:rsidRPr="003E495D" w:rsidTr="00A223A8">
        <w:trPr>
          <w:trHeight w:val="3874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78" w:type="pct"/>
            <w:shd w:val="clear" w:color="auto" w:fill="FFFFFF"/>
          </w:tcPr>
          <w:p w:rsidR="000D138B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Організація створення на об’єктах підвищеної небезпеки 1 та 2 класу автоматизованих систем раннього виявлення загрози виникнення надзвичайних ситуацій та оповіщення населення в разі їх виникнення в зонах можливого ураження і персоналу таких об’єктів</w:t>
            </w:r>
          </w:p>
          <w:p w:rsidR="000D138B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8B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8B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8B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Виконавчі органи місцевих рад (за згодою),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суб’єкти господарювання, до сфери управління яких належать об’єкти підвищеної небезпеки 1 та 2 класу,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До 25 грудня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20 відсотків об’єктів підвищеної небезпеки 1 та 2 класу обладнано автоматизованими системами раннього виявлення загрози виникнення надзвичайних ситуацій та оповіщення населення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разі їх виникнення в зонах можливого ураження і персоналу таких об’єктів</w:t>
            </w:r>
          </w:p>
        </w:tc>
      </w:tr>
      <w:tr w:rsidR="000D138B" w:rsidRPr="003E495D" w:rsidTr="00FD6ACC">
        <w:trPr>
          <w:trHeight w:val="720"/>
        </w:trPr>
        <w:tc>
          <w:tcPr>
            <w:tcW w:w="211" w:type="pct"/>
          </w:tcPr>
          <w:p w:rsidR="000D138B" w:rsidRPr="0075265C" w:rsidRDefault="000D138B" w:rsidP="00212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212AF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Уточнення відомостей:</w:t>
            </w:r>
          </w:p>
        </w:tc>
        <w:tc>
          <w:tcPr>
            <w:tcW w:w="1834" w:type="pct"/>
          </w:tcPr>
          <w:p w:rsidR="000D138B" w:rsidRPr="00A13287" w:rsidRDefault="000D138B" w:rsidP="0081602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38B" w:rsidRPr="003E495D" w:rsidTr="00FD6ACC">
        <w:trPr>
          <w:trHeight w:val="720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CB56C6" w:rsidRDefault="000D138B" w:rsidP="00CB56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1" w:right="113" w:hanging="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6C6">
              <w:rPr>
                <w:rFonts w:ascii="Times New Roman" w:hAnsi="Times New Roman"/>
                <w:sz w:val="28"/>
                <w:szCs w:val="28"/>
                <w:lang w:eastAsia="ru-RU"/>
              </w:rPr>
              <w:t>щодо переліку суб’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єктів господарювання, що продов</w:t>
            </w:r>
            <w:r w:rsidRPr="00CB56C6">
              <w:rPr>
                <w:rFonts w:ascii="Times New Roman" w:hAnsi="Times New Roman"/>
                <w:sz w:val="28"/>
                <w:szCs w:val="28"/>
                <w:lang w:eastAsia="ru-RU"/>
              </w:rPr>
              <w:t>жують свою діяльність в особливий період</w:t>
            </w:r>
          </w:p>
        </w:tc>
        <w:tc>
          <w:tcPr>
            <w:tcW w:w="1834" w:type="pct"/>
          </w:tcPr>
          <w:p w:rsidR="000D138B" w:rsidRPr="00A13287" w:rsidRDefault="000D138B" w:rsidP="00212AF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Сектор мобілізаційної роботи апарату районної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авної  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 військової адміністрації,</w:t>
            </w:r>
            <w:r w:rsidRPr="00816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</w:t>
            </w:r>
            <w:r w:rsidRPr="003E495D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економічного розвитку, житлово -комунального господарства, інфраструктури та екології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районної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авної  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виконавчі органи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</w:tcPr>
          <w:p w:rsidR="000D138B" w:rsidRPr="00A13287" w:rsidRDefault="000D138B" w:rsidP="00212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25 грудня</w:t>
            </w:r>
          </w:p>
        </w:tc>
        <w:tc>
          <w:tcPr>
            <w:tcW w:w="1008" w:type="pct"/>
          </w:tcPr>
          <w:p w:rsidR="000D138B" w:rsidRPr="00A13287" w:rsidRDefault="000D138B" w:rsidP="00212AFA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Уточн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ено перелік суб’єктів господарю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вання, що продовжують провадити діяльність в особливий період</w:t>
            </w:r>
          </w:p>
        </w:tc>
      </w:tr>
      <w:tr w:rsidR="000D138B" w:rsidRPr="003E495D" w:rsidTr="00FD6ACC">
        <w:trPr>
          <w:trHeight w:val="720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212AF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 зон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прогнозованого ураження внаслідок вибуху вибухонебезпечних предметів, які зберігаються на арсеналах, базах (складах) озброєння, ракет, боєприпасів і компонентів ракетного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палива Збройних Сил України</w:t>
            </w:r>
          </w:p>
        </w:tc>
        <w:tc>
          <w:tcPr>
            <w:tcW w:w="1834" w:type="pct"/>
          </w:tcPr>
          <w:p w:rsidR="000D138B" w:rsidRPr="00A13287" w:rsidRDefault="000D138B" w:rsidP="00CB56C6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 xml:space="preserve">Підрозділи військової частини </w:t>
            </w:r>
            <w:r w:rsidRPr="003E49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 1556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Міністерства оборони України (за 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</w:p>
        </w:tc>
        <w:tc>
          <w:tcPr>
            <w:tcW w:w="669" w:type="pct"/>
          </w:tcPr>
          <w:p w:rsidR="000D138B" w:rsidRPr="00A13287" w:rsidRDefault="000D138B" w:rsidP="00212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</w:p>
          <w:p w:rsidR="000D138B" w:rsidRPr="00A13287" w:rsidRDefault="000D138B" w:rsidP="00212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008" w:type="pct"/>
          </w:tcPr>
          <w:p w:rsidR="000D138B" w:rsidRPr="00A13287" w:rsidRDefault="000D138B" w:rsidP="00212AF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роведено розрахунки та уточнено прогнозовані зони можливого ураження внаслідок вибуху вибухонебезпечних предметів</w:t>
            </w:r>
          </w:p>
        </w:tc>
      </w:tr>
      <w:tr w:rsidR="000D138B" w:rsidRPr="003E495D" w:rsidTr="00FD6ACC">
        <w:trPr>
          <w:trHeight w:val="189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78" w:type="pct"/>
            <w:shd w:val="clear" w:color="auto" w:fill="FFFFFF"/>
          </w:tcPr>
          <w:p w:rsidR="000D138B" w:rsidRPr="003E495D" w:rsidRDefault="000D138B" w:rsidP="002B0C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Надання методичної допомоги вико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навчим органам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із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>підготовки до осінньо -зимового періоду</w:t>
            </w:r>
          </w:p>
        </w:tc>
        <w:tc>
          <w:tcPr>
            <w:tcW w:w="1834" w:type="pct"/>
          </w:tcPr>
          <w:p w:rsidR="000D138B" w:rsidRPr="00A13287" w:rsidRDefault="000D138B" w:rsidP="002B0C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</w:t>
            </w:r>
            <w:r w:rsidRPr="003E495D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економічного розвитку, житлово -комунального господарства, інфраструктури та екології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районної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авної  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Вересень – жовтень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Надано методичну допомогу; забезпечено виконання підготовчих та ремонт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них робіт в умовах осінньо -зимо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вого періоду</w:t>
            </w:r>
          </w:p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38B" w:rsidRPr="003E495D" w:rsidTr="005D6769">
        <w:trPr>
          <w:trHeight w:val="189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Вжиття заходів із підготовки до надання представниками ДСНС України методичної допомоги щодо функціонування консультаційних пунктів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 надання населенню за місцем проживання інформації з питань цивільного захисту</w:t>
            </w:r>
          </w:p>
        </w:tc>
        <w:tc>
          <w:tcPr>
            <w:tcW w:w="1834" w:type="pct"/>
          </w:tcPr>
          <w:p w:rsidR="000D138B" w:rsidRPr="00A13287" w:rsidRDefault="000D138B" w:rsidP="003B062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районної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авної  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 військової адміністрації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рудень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Надано методичну допомогу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та інформаційно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-методичну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підтримку місцевим органам виконавчої влади та органам місцевого самоврядування</w:t>
            </w:r>
          </w:p>
        </w:tc>
      </w:tr>
      <w:tr w:rsidR="000D138B" w:rsidRPr="003E495D" w:rsidTr="00FD6ACC">
        <w:trPr>
          <w:trHeight w:val="3017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1E065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Забезпечення утворення місцевих автоматизованих систем централізованого оповіщення (МАСЦО), їх дієздатного функціонування та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взаємодії з територіальною автоматизованою системою централізованого оповіщення та відповідними локальними, спеціальними і об’єктовими системами оповіщення,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які розташовані на території відповідних адміністративно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-територіальних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одиниць </w:t>
            </w:r>
          </w:p>
        </w:tc>
        <w:tc>
          <w:tcPr>
            <w:tcW w:w="1834" w:type="pct"/>
          </w:tcPr>
          <w:p w:rsidR="000D138B" w:rsidRPr="00A13287" w:rsidRDefault="000D138B" w:rsidP="00046A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иконавчі органи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грудня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Утворено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місцеві авто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матизовані системи централізованого оповіщення</w:t>
            </w:r>
          </w:p>
        </w:tc>
      </w:tr>
      <w:tr w:rsidR="000D138B" w:rsidRPr="003E495D" w:rsidTr="00FD6ACC">
        <w:trPr>
          <w:trHeight w:val="189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Вжиття заходів щодо збільшення на 20 відсотків кількості електросирен та гучномовців місцевих автоматизованих систем 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централізованого оповіщення</w:t>
            </w:r>
          </w:p>
        </w:tc>
        <w:tc>
          <w:tcPr>
            <w:tcW w:w="1834" w:type="pct"/>
          </w:tcPr>
          <w:p w:rsidR="000D138B" w:rsidRPr="00A13287" w:rsidRDefault="000D138B" w:rsidP="00F672A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грудня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0D138B" w:rsidRPr="00A13287" w:rsidRDefault="000D138B" w:rsidP="00795FB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Збільшено на 20 відсотків кільк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електросирен та гучномовців місцевих автоматизованих систем 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централізованого оповіщення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Відпрацювання заходів щодо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доведення до населення сигналів оповіщення, інформації про загрозу виникнення або виникнення надзвичайних ситуацій, привернення уваги населення для своєчасного реагування із використанням телемережі та мережі ефірного радіомовлення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телерадіо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організацій області</w:t>
            </w:r>
          </w:p>
        </w:tc>
        <w:tc>
          <w:tcPr>
            <w:tcW w:w="1834" w:type="pct"/>
          </w:tcPr>
          <w:p w:rsidR="000D138B" w:rsidRPr="00A13287" w:rsidRDefault="000D138B" w:rsidP="00686D33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 – районної військової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філія акціонерного товариства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„Н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аціональна суспільна телерадіокомпанія України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„Закарпатська регіональна дирекція” (за згодою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</w:p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Відпрацьовано заходи</w:t>
            </w:r>
          </w:p>
        </w:tc>
      </w:tr>
      <w:tr w:rsidR="000D138B" w:rsidRPr="003E495D" w:rsidTr="00FD6ACC">
        <w:trPr>
          <w:trHeight w:val="898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Здійснення належного обґрунтування обсягів номенклатури на місцевому рівні з належними розрахунками, враховуючи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сі можливі надзвичайні ситуації, що можуть виникнути на відповідній території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та їх затвердження. Розроблення та з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атвердження відповідних районної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та місцевих програм щодо створення та накопичення місцевих резервів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  адміністрації – районної військової адміністрації</w:t>
            </w:r>
          </w:p>
        </w:tc>
        <w:tc>
          <w:tcPr>
            <w:tcW w:w="669" w:type="pct"/>
          </w:tcPr>
          <w:p w:rsidR="000D138B" w:rsidRPr="00A13287" w:rsidRDefault="000D138B" w:rsidP="00795FB7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01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ипня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Затверджено обґрунтовані номенклатури та обсяги накопичення.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Розроблено 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затверджено відповідні районну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місцеві програми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Здійснення реальних заходів із створення, утримання та поповнення місцевих матеріальних резервів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  адміністрації – районної військової адміністрації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</w:p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Створено (накопичено) місцеві матеріальні резерви не менше ніж 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відсотків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затверджених номенклатур</w:t>
            </w:r>
          </w:p>
        </w:tc>
      </w:tr>
      <w:tr w:rsidR="000D138B" w:rsidRPr="003E495D" w:rsidTr="00FD6ACC">
        <w:trPr>
          <w:trHeight w:val="465"/>
        </w:trPr>
        <w:tc>
          <w:tcPr>
            <w:tcW w:w="5000" w:type="pct"/>
            <w:gridSpan w:val="5"/>
          </w:tcPr>
          <w:p w:rsidR="000D138B" w:rsidRPr="0075265C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ІІ. Заходи з підготовки та визначення стану готовності до виконання завдань за призначенням органів управління, сил та засобів районної територіальної підсистеми єдиної державної системи цивільного захисту</w:t>
            </w:r>
          </w:p>
        </w:tc>
      </w:tr>
      <w:tr w:rsidR="000D138B" w:rsidRPr="003E495D" w:rsidTr="00FD6ACC">
        <w:trPr>
          <w:trHeight w:val="85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Проведення: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38B" w:rsidRPr="003E495D" w:rsidTr="00FD6ACC">
        <w:trPr>
          <w:trHeight w:val="85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командно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штабних навчань та штабних тренувань з органами управління та силами цивільного захисту ланок та субланок територіальної підсистеми єдиної державної системи цивільного захисту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1D7E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  адміністрації – 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територіальні спеціалізовані служби цивільного захисту регіонального та місцевого рівнів (за згодою),</w:t>
            </w:r>
            <w:r w:rsidRPr="00A132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органи управління цивільного захисту ланок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районної </w:t>
            </w:r>
            <w:r w:rsidRPr="00A132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територіальної підсистеми єдиної державної системи цивільного захисту (за згодою),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структурні підрозділи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районної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установи, підприємства та організації (за згодою)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Упродовж року 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окремим рішенням 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командно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-штабні навчання, штабні тренування</w:t>
            </w:r>
          </w:p>
        </w:tc>
      </w:tr>
      <w:tr w:rsidR="000D138B" w:rsidRPr="003E495D" w:rsidTr="00FD6ACC">
        <w:trPr>
          <w:trHeight w:val="85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212A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спеціального навчання (тренувань) формувань аварій</w:t>
            </w:r>
            <w:r>
              <w:rPr>
                <w:rFonts w:ascii="Times New Roman" w:hAnsi="Times New Roman"/>
                <w:sz w:val="28"/>
                <w:szCs w:val="28"/>
              </w:rPr>
              <w:t>но-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рятувальної служби функціональної підсистеми із запобігання надзвичайним ситуаціям і ліквідації їх наслідків на арсеналах, базах (складах) озброєння, ракет, боєприпасів і компонентів ракетного палива, інших вибухопожежонебезпечних об’єктах Збройних Сил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561FE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 xml:space="preserve">Підрозділи військової частини А 1556 Міністерства оборони України (за 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, відділ з питань цивільного захисту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районної військової адміністрації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212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Протягом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br/>
              <w:t>року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212AF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Проведено спеціальне навчання (тренування), отримано практичні навички із запобігання надзвичайним ситуаціям і ліквідації їх наслідків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об’єктових тренувань із питань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цивільного захисту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закладах вищої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686D3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культури, 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молоді та спорту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 – 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заклади вищої освіти на території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-методичний центр цивільного захисту та безпеки життєдіяльності </w:t>
            </w:r>
            <w:bookmarkStart w:id="1" w:name="_Hlk130374160"/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Закарпатської області</w:t>
            </w:r>
            <w:bookmarkEnd w:id="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 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За окремим планом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Проведено об’єктові тренування, відпрацьовано практичні навички, здобуто знання та вміння з питань особистої безпеки в умовах загрози виникнення та виникнення надзвичайних ситуацій у мирний час та в особливий період, користування засобами захисту, вивчення правил пожежної безпеки та основ цивільного захисту; сформовано достатній (необхідний) рівень знань і вмінь для безпечного перебування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навколишньому природному середовищі, про норми поведінки в надзвичайних ситуаціях і запобігання пожежам; подано звіти про здійснення заходів до територіальних органів ДСНС</w:t>
            </w:r>
          </w:p>
        </w:tc>
      </w:tr>
      <w:tr w:rsidR="000D138B" w:rsidRPr="003E495D" w:rsidTr="00FD6ACC">
        <w:trPr>
          <w:trHeight w:val="555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комплексу заходів із запобігання виникненню: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38B" w:rsidRPr="003E495D" w:rsidTr="00FD6ACC">
        <w:trPr>
          <w:trHeight w:val="614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пожеж у природних екосистемах, на торфовищах, сільськогосподарських угіддях, у лісових масивах, на територіях і об’єктах природно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заповідного фонду та інших відкритих ділянках місцевості протягом пожежонебезпечного періоду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746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633"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26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), філія </w:t>
            </w:r>
            <w:r w:rsidRPr="00D421F3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лісове господарство</w:t>
            </w:r>
            <w:r w:rsidRPr="00D421F3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ДП </w:t>
            </w:r>
            <w:r w:rsidRPr="00D421F3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Ліси України</w:t>
            </w:r>
            <w:r w:rsidRPr="00D421F3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(за згодою),</w:t>
            </w:r>
            <w:r w:rsidRPr="003E495D">
              <w:rPr>
                <w:shd w:val="clear" w:color="auto" w:fill="FCFCFC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26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лісофондоутримувачі області, незалежно від форми власності та відомчої належності (за 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Ужгородське районне управління Головного управління Національної поліції в Закарпатській області (за згодою), </w:t>
            </w:r>
            <w:hyperlink r:id="rId7" w:history="1">
              <w:r w:rsidRPr="003E495D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відділ економічного розвитку, житлово - комунального</w:t>
              </w:r>
            </w:hyperlink>
            <w:r w:rsidRPr="003E495D">
              <w:rPr>
                <w:rFonts w:ascii="Times New Roman" w:hAnsi="Times New Roman"/>
                <w:sz w:val="28"/>
                <w:szCs w:val="28"/>
              </w:rPr>
              <w:t xml:space="preserve"> господарства, інфраструктури та екології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районної військової адміністрації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E5221B" w:rsidRDefault="000D138B" w:rsidP="00E52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2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01 червня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Затверджено розпорядчі документи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плани організаційних і практичних заходів; здій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снено профілактичні заходи щодо забезпечення пожежної безпеки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3E495D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2) нещасних випадків із людьми на водних об’єктах</w:t>
            </w:r>
          </w:p>
        </w:tc>
        <w:tc>
          <w:tcPr>
            <w:tcW w:w="1834" w:type="pct"/>
            <w:shd w:val="clear" w:color="auto" w:fill="FFFFFF"/>
          </w:tcPr>
          <w:p w:rsidR="000D138B" w:rsidRPr="003E495D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Виконавчі органи місцевих рад (за згодою),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Ужгородське районне управління ГУ ДСНС України у Закарпатській області (за згодою)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Головного управління Національної поліції в Закарпатській області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ІІ квартал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3E495D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Визначено місця масового відпочинку людей на водних об’єктах; розглянуто питання готовності місць масового відпочинку людей на водних об’єктах на засіданнях місцевих комісій із питань техногенно -екологічної безпеки і надзвичайних ситуацій; обстежено 100 відсотків дна акваторії пляжів; створено рятувальні пости на визначених водних об’єктах, які мають пляжі</w:t>
            </w:r>
          </w:p>
        </w:tc>
      </w:tr>
      <w:tr w:rsidR="000D138B" w:rsidRPr="003E495D" w:rsidTr="00FD6ACC">
        <w:trPr>
          <w:trHeight w:val="189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надзвичайних ситуацій під час проходження осінньо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-зимового періоду на підприємствах: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паливно-енергетичного комплексу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CE25F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3E495D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Відділ економічного розвитку, житлово-комунального</w:t>
              </w:r>
            </w:hyperlink>
            <w:r w:rsidRPr="003E495D">
              <w:rPr>
                <w:rFonts w:ascii="Times New Roman" w:hAnsi="Times New Roman"/>
                <w:sz w:val="28"/>
                <w:szCs w:val="28"/>
              </w:rPr>
              <w:t xml:space="preserve"> господарства, інфраструктури та екології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підприємства, установи, організації паливно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енергетичного комплексу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району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Жовтень – грудень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795FB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Здійснено профілактичні заходи щодо забезпечення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безаварій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ної роботи паливно-енергетичного комплексу під час проходження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осінньо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зимового періоду</w:t>
            </w:r>
          </w:p>
        </w:tc>
      </w:tr>
      <w:tr w:rsidR="000D138B" w:rsidRPr="003E495D" w:rsidTr="006B6D35">
        <w:trPr>
          <w:trHeight w:val="33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итлово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комунального господарства і об’єктах соціальної сфери та інфраструктури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536F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3E495D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Відділ економічного розвитку, житлово -комунального</w:t>
              </w:r>
            </w:hyperlink>
            <w:r w:rsidRPr="003E495D">
              <w:rPr>
                <w:rFonts w:ascii="Times New Roman" w:hAnsi="Times New Roman"/>
                <w:sz w:val="28"/>
                <w:szCs w:val="28"/>
              </w:rPr>
              <w:t xml:space="preserve"> господарства, інфраструктури та екології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районної державної адміністрації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 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підприємства, установи, організації житлово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комунальної та соціальної сфери (за згодою)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Жовтень – грудень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Затверджено розпорядчі документи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плани організаційних і прак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тичних заходів; здійснено профілактичні заходи щодо сталого функціонування об’єктів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житлово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-комунального господарства, соціальної сфери та інфраструктури в умовах осінньо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-зимового періоду</w:t>
            </w:r>
          </w:p>
        </w:tc>
      </w:tr>
      <w:tr w:rsidR="000D138B" w:rsidRPr="003E495D" w:rsidTr="00FD6ACC">
        <w:trPr>
          <w:trHeight w:val="356"/>
        </w:trPr>
        <w:tc>
          <w:tcPr>
            <w:tcW w:w="5000" w:type="pct"/>
            <w:gridSpan w:val="5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ІІІ. Заходи з контролю за додержанням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</w:tr>
      <w:tr w:rsidR="000D138B" w:rsidRPr="003E495D" w:rsidTr="00FD6ACC">
        <w:trPr>
          <w:trHeight w:val="352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Вжиття заходів із підготовки до проведення представниками ДСНС України комплексної перевірки діяльності щодо виконання вимог законів та інших нормативно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правових актів із питань техногенної та пожежної безпеки, цивільного захисту і діяльності аварійно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-рятувальних служб (у разі їх утворення) на території Закарпатської області*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AE2E8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>Ужгородське районне управління поліції Головного управління національної поліції у Закарпатській області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 – районної військової адміністрації: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 w:rsidRPr="00BE790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hyperlink r:id="rId10" w:history="1">
              <w:r w:rsidRPr="003E495D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 xml:space="preserve"> економічного розвитку, житлово - комунального</w:t>
              </w:r>
            </w:hyperlink>
            <w:r w:rsidRPr="003E495D">
              <w:rPr>
                <w:rFonts w:ascii="Times New Roman" w:hAnsi="Times New Roman"/>
                <w:sz w:val="28"/>
                <w:szCs w:val="28"/>
              </w:rPr>
              <w:t xml:space="preserve"> господарства, інфраструктури та екології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01 серпня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Оцінено діяльність місцевих органів виконавчої влади щодо виконання вимог законів та інших нормативно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-правових актів із питань техногенної та пожежної безпеки, цивільного захисту і діяльності аварійно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-рятувальних служб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надіслано акт перевірки</w:t>
            </w:r>
          </w:p>
        </w:tc>
      </w:tr>
      <w:tr w:rsidR="000D138B" w:rsidRPr="003E495D" w:rsidTr="00FD6ACC">
        <w:trPr>
          <w:trHeight w:val="616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Проведення перевірки місцевих органів виконавчої влади, органів місцевого </w:t>
            </w:r>
            <w:r>
              <w:rPr>
                <w:rFonts w:ascii="Times New Roman" w:hAnsi="Times New Roman"/>
                <w:sz w:val="28"/>
                <w:szCs w:val="28"/>
              </w:rPr>
              <w:t>самовряду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вання щодо стану готовності:</w:t>
            </w:r>
          </w:p>
        </w:tc>
        <w:tc>
          <w:tcPr>
            <w:tcW w:w="1834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пропуску льодоходу, повені та паводків</w:t>
            </w:r>
          </w:p>
        </w:tc>
        <w:tc>
          <w:tcPr>
            <w:tcW w:w="1834" w:type="pct"/>
          </w:tcPr>
          <w:p w:rsidR="000D138B" w:rsidRPr="00A13287" w:rsidRDefault="000D138B" w:rsidP="00AB577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B57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відділ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цивільного захисту районної державної    адміністрації – районної військової адміністрації</w:t>
            </w:r>
            <w:r w:rsidRPr="00AB5770">
              <w:rPr>
                <w:rFonts w:ascii="Times New Roman" w:hAnsi="Times New Roman"/>
                <w:sz w:val="28"/>
                <w:szCs w:val="28"/>
                <w:lang w:eastAsia="ru-RU"/>
              </w:rPr>
              <w:t>, Ужгородське міжрайонне управління водного господарства (за згодою), 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B57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окремим планом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цільові перевірки стану готовності до пропуску льодоходу, повені та паводків місцевих органів виконавчої влади, органів місцевого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самовряду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вання; підготовлено акти за результатами перевірок, які надіслано до обл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адміністрації –обласної військової адміністрації</w:t>
            </w:r>
          </w:p>
        </w:tc>
      </w:tr>
      <w:tr w:rsidR="000D138B" w:rsidRPr="003E495D" w:rsidTr="001941B6">
        <w:trPr>
          <w:trHeight w:val="614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місць масового відпочинку та оздоровлення населення</w:t>
            </w:r>
          </w:p>
        </w:tc>
        <w:tc>
          <w:tcPr>
            <w:tcW w:w="1834" w:type="pct"/>
          </w:tcPr>
          <w:p w:rsidR="000D138B" w:rsidRPr="00A13287" w:rsidRDefault="000D138B" w:rsidP="006D27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B57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Травень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Організовано та проведено перевірки місцевих органів виконавчої влади, органів місцевого самоврядування, підприємств, установ та організацій щодо стану готовності місць масового відпочинку та оздоровлення громадян; за результатами підготовлено відповідні акти перевірок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місць масового відпочинку населення на водних об’єктах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B57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Травень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червень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Організовано та проведено перевірки місцевих органів виконавчої влади, органів місцевого самоврядування, підприємств, установ та організацій щодо стану готовності місць масового відпочинку населення на водних об’єктах; за результатами підготовлено відповідні акти перевірок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закладів освіти до 2023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2024 навчального року</w:t>
            </w:r>
          </w:p>
        </w:tc>
        <w:tc>
          <w:tcPr>
            <w:tcW w:w="1834" w:type="pct"/>
          </w:tcPr>
          <w:p w:rsidR="000D138B" w:rsidRDefault="000D138B" w:rsidP="00C641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ідділ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культури, 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молоді та спорту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 – 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  <w:p w:rsidR="000D138B" w:rsidRPr="00A13287" w:rsidRDefault="000D138B" w:rsidP="00C641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Липень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Оцінено діяльність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 підготовки до 2023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2024 навчального року;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надіслано акти перевірок до закладів освіти</w:t>
            </w:r>
          </w:p>
        </w:tc>
      </w:tr>
      <w:tr w:rsidR="000D138B" w:rsidRPr="003E495D" w:rsidTr="00FD6ACC">
        <w:trPr>
          <w:trHeight w:val="365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5276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изначення стану готовності: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38B" w:rsidRPr="003E495D" w:rsidTr="00FD6ACC">
        <w:trPr>
          <w:trHeight w:val="614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державних, регіональних, комунальних, об’єктових аварійно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рятувальних служб, які підлягають атестації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формувань, а також аварійно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рятувальних служб громадських організацій до дій за призначенням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01 червня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перевірки 100 відсотків державних,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50 відсотків регіональних, комунальних, об’єктових аварійно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-рятувальних служб і формувань, а також аварійно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рятувальних служб громадських організацій; підготовлено та надіслано відповідні акти керівникам аварійно-рятувальних служб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підприємств, що належать до сфери управління центральних органів виконавчої влади, комунальних та інших підприємств, установ та організацій, що мають у віданні ліси і сільськогосподарські угіддя, до їх протипожежного захисту в пожежонебезпечний період</w:t>
            </w:r>
          </w:p>
        </w:tc>
        <w:tc>
          <w:tcPr>
            <w:tcW w:w="1834" w:type="pct"/>
          </w:tcPr>
          <w:p w:rsidR="000D138B" w:rsidRPr="00A13287" w:rsidRDefault="000D138B" w:rsidP="0013011E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філія </w:t>
            </w:r>
            <w:r w:rsidRPr="00D421F3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лісове господарство</w:t>
            </w:r>
            <w:r w:rsidRPr="00D421F3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ДП </w:t>
            </w:r>
            <w:r w:rsidRPr="00D421F3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Ліси України</w:t>
            </w:r>
            <w:r w:rsidRPr="00D421F3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(за згодою)</w:t>
            </w:r>
            <w:r w:rsidRPr="003E495D">
              <w:rPr>
                <w:shd w:val="clear" w:color="auto" w:fill="FCFCFC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</w:t>
            </w:r>
            <w:r w:rsidRPr="003E495D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економічного розвитку, житлово - комунального господарства, інфраструктури та екології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районної військової адміністрації,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01 липня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спільні перевірки щодо виявлення порушників правил пожежної безпеки; за результатами складено відповідні акти, які у встановленому порядку надіслано керівникам суб’єктів господарювання для усунення порушень</w:t>
            </w:r>
          </w:p>
        </w:tc>
      </w:tr>
      <w:tr w:rsidR="000D138B" w:rsidRPr="003E495D" w:rsidTr="00FD6ACC">
        <w:trPr>
          <w:trHeight w:val="1042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tabs>
                <w:tab w:val="left" w:pos="465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6) перевірки стану готовності загальнодержавної, територіальних, місцевих автоматизованих систем централізованого оповіщення, спеціальних, локальних та об’єктових систем оповіщення із включенням електросирен та інших технічних засобів оповіщення і доведенням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1834" w:type="pct"/>
          </w:tcPr>
          <w:p w:rsidR="000D138B" w:rsidRPr="00A13287" w:rsidRDefault="000D138B" w:rsidP="00BD6D98">
            <w:pPr>
              <w:tabs>
                <w:tab w:val="left" w:pos="170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 з питань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цивільного захисту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районної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військової адміністрації,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иконавчі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Листопад 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перевірки; подано до ДСНС за результатами перевірок звіти щодо стану готовності територіальних та місцевих автоматизованих систем централізованого оповіщення, спеціальних, локальних та об’єктових систем оповіщення</w:t>
            </w:r>
          </w:p>
        </w:tc>
      </w:tr>
      <w:tr w:rsidR="000D138B" w:rsidRPr="003E495D" w:rsidTr="00FD6ACC">
        <w:trPr>
          <w:trHeight w:val="1942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Забезпечення та здійснення контролю за техногенною та пожежною безпекою арсеналів, баз (складів) озброєння, ракет, боєприпасів і компонентів ракетного палива, інших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вибухопожежонебезпечних об’єктів Збройних Сил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1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3E495D" w:rsidRDefault="000D138B" w:rsidP="00BD6D9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 xml:space="preserve">Підрозділи військової частини </w:t>
            </w:r>
            <w:r w:rsidRPr="003E49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 1556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Міністерства оборони України (за 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15 грудня</w:t>
            </w:r>
          </w:p>
        </w:tc>
        <w:tc>
          <w:tcPr>
            <w:tcW w:w="1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Здійснено заходи контролю за станом техногенної та пожежної безпеки; складено відповідний акт за результатами перевірки</w:t>
            </w:r>
          </w:p>
        </w:tc>
      </w:tr>
      <w:tr w:rsidR="000D138B" w:rsidRPr="003E495D" w:rsidTr="00FD6ACC">
        <w:trPr>
          <w:trHeight w:val="106"/>
        </w:trPr>
        <w:tc>
          <w:tcPr>
            <w:tcW w:w="5000" w:type="pct"/>
            <w:gridSpan w:val="5"/>
          </w:tcPr>
          <w:p w:rsidR="000D138B" w:rsidRPr="0075265C" w:rsidRDefault="000D138B" w:rsidP="00FD6ACC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ІV. Заходи з підготовки керівного складу і фахівців, діяльність яких пов’язана з організацією та здійсненням </w:t>
            </w:r>
            <w:r w:rsidRPr="007526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заходів цивільного захисту, та населення до дій у разі виникнення надзвичайних ситуацій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 навчання керівного складу і фахівців, діяльність яких пов’язана з організацією заходів цивільного захисту, у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методичних центрах цивільного захисту та безпеки життєдіяльності</w:t>
            </w:r>
          </w:p>
        </w:tc>
        <w:tc>
          <w:tcPr>
            <w:tcW w:w="1834" w:type="pct"/>
          </w:tcPr>
          <w:p w:rsidR="000D138B" w:rsidRPr="00A13287" w:rsidRDefault="000D138B" w:rsidP="00A279C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яльності Закарпатської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виконавчі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>підприємства, установи та організації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25 грудня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Забезпечено потребу у навчанні осіб керівного складу і фахівців, діяльність яких пов’язана з організацією та здійсненням заходів цивільного захисту, відпов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ідно до держав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ного замовлення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78" w:type="pct"/>
            <w:shd w:val="clear" w:color="auto" w:fill="FFFFFF"/>
          </w:tcPr>
          <w:p w:rsidR="000D138B" w:rsidRPr="003E495D" w:rsidRDefault="000D138B" w:rsidP="00353B0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Розроблення плану просвітницької роботи серед населення району з питань цивільного захисту в умовах воєнного стану</w:t>
            </w:r>
          </w:p>
        </w:tc>
        <w:tc>
          <w:tcPr>
            <w:tcW w:w="1834" w:type="pct"/>
          </w:tcPr>
          <w:p w:rsidR="000D138B" w:rsidRPr="003E495D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 xml:space="preserve">Навчально - методичний центр цивільного захисту та безпеки життєдіяльності Закарпатської області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</w:tcPr>
          <w:p w:rsidR="000D138B" w:rsidRPr="003E495D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ІІ квартал</w:t>
            </w:r>
          </w:p>
        </w:tc>
        <w:tc>
          <w:tcPr>
            <w:tcW w:w="1008" w:type="pct"/>
          </w:tcPr>
          <w:p w:rsidR="000D138B" w:rsidRPr="003E495D" w:rsidRDefault="000D138B" w:rsidP="00A279C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Розроблено (затверджено) план просвітницької роботи серед населення району з питань цивільного захисту в умовах воєнного стану та організовано його виконання</w:t>
            </w:r>
          </w:p>
        </w:tc>
      </w:tr>
      <w:tr w:rsidR="000D138B" w:rsidRPr="003E495D" w:rsidTr="00FD6ACC">
        <w:trPr>
          <w:trHeight w:val="242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та проведення: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показового навчання з питань цивільного захисту на базі одного з підприємств, що входить до складу 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однієї з ланок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територіальної підсистеми єдиної державної системи цивільного захисту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25 грудня</w:t>
            </w:r>
          </w:p>
        </w:tc>
        <w:tc>
          <w:tcPr>
            <w:tcW w:w="1008" w:type="pct"/>
          </w:tcPr>
          <w:p w:rsidR="000D138B" w:rsidRPr="00A13287" w:rsidRDefault="000D138B" w:rsidP="00A279C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показове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навчання з питань цивільного захисту, досягнуто єдність поглядів щодо методичного здійснення заходу та технології відпрацювання практичних етапів навчання (тренування); подано звіт до ДСНС 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353B0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навчальних зборів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 керів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никами підрозділів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(фахівцями) з питань цивільного захисту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Ужгородської районної державної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район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навчих органів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щодо реалізації заходів із захисту населення і територій від надзвичайних ситуацій у мирний час та в особливий період</w:t>
            </w:r>
          </w:p>
        </w:tc>
        <w:tc>
          <w:tcPr>
            <w:tcW w:w="1834" w:type="pct"/>
          </w:tcPr>
          <w:p w:rsidR="000D138B" w:rsidRPr="00A13287" w:rsidRDefault="000D138B" w:rsidP="00A279C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відділ з питань 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цивільного захисту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 державної   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 районної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військової 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15 грудня 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tabs>
                <w:tab w:val="left" w:pos="312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збори; підвищено рівень знань і вдосконалено навички керівників підрозділів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(фахівців)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 питань цивільного захисту органів місцевого самоврядування із захисту населення і територій від надзвичайних ситуацій у мирний час та в особливий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період</w:t>
            </w:r>
          </w:p>
        </w:tc>
      </w:tr>
      <w:tr w:rsidR="000D138B" w:rsidRPr="003E495D" w:rsidTr="00FD6ACC">
        <w:trPr>
          <w:trHeight w:val="1003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Дня цивільного захисту в закладах загальної середньої та професійно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технічної освіти, Тижня безпеки дитини в закладах дошкільної освіти</w:t>
            </w:r>
          </w:p>
        </w:tc>
        <w:tc>
          <w:tcPr>
            <w:tcW w:w="1834" w:type="pct"/>
          </w:tcPr>
          <w:p w:rsidR="000D138B" w:rsidRPr="00A13287" w:rsidRDefault="000D138B" w:rsidP="0098586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A132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ідділ культури, освіти, молоді та спорту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– 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008" w:type="pct"/>
          </w:tcPr>
          <w:p w:rsidR="000D138B" w:rsidRPr="00A13287" w:rsidRDefault="000D138B" w:rsidP="005276D5">
            <w:pPr>
              <w:tabs>
                <w:tab w:val="left" w:pos="312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Здійснено заходи в закладах загальної середньої, професійної (професійно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технічної) та дошкільної освіти з профілактики дитячого травматизму, популяризації знань правил безпеки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повсякден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ному житті, здорового та активного способу життя серед учнівської молоді</w:t>
            </w:r>
          </w:p>
        </w:tc>
      </w:tr>
      <w:tr w:rsidR="000D138B" w:rsidRPr="003E495D" w:rsidTr="00FD6ACC">
        <w:trPr>
          <w:trHeight w:val="60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просвітницької роботи серед населення: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38B" w:rsidRPr="003E495D" w:rsidTr="00FD6ACC">
        <w:trPr>
          <w:trHeight w:val="750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із запобігання виникненню надзвичайних ситуацій, пов’язаних із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1834" w:type="pct"/>
          </w:tcPr>
          <w:p w:rsidR="000D138B" w:rsidRPr="00A13287" w:rsidRDefault="000D138B" w:rsidP="0098586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Ужгородська міськрайонна філія ДУ „Закарпатський обласний центр контролю та профілактики хвороб Міністерства охорони здоров’я України”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управління Головного управління Держпродспоживслужби в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 головне управління ДСНС України у Закарпатській області (за згодою), виконавчі органи місцевих рад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відповідно до затверджених планів просвітницьку роботу серед населення щодо запобігання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поширенню небезпечних інфекцій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них захворювань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38B" w:rsidRPr="003E495D" w:rsidTr="00FD6ACC">
        <w:trPr>
          <w:trHeight w:val="473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 питань цивільного захисту в умовах воєнного стану відповідно до розробленого плану</w:t>
            </w:r>
          </w:p>
        </w:tc>
        <w:tc>
          <w:tcPr>
            <w:tcW w:w="1834" w:type="pct"/>
          </w:tcPr>
          <w:p w:rsidR="000D138B" w:rsidRPr="00A13287" w:rsidRDefault="000D138B" w:rsidP="0098586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яльності Закарпатської області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 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 з питань цивільного захисту районної державної    адміністрації  – районної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військової адміністрації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відповідно до затверджених планів просвітницьку роботу серед населення з питань цивільного захисту </w:t>
            </w:r>
          </w:p>
        </w:tc>
      </w:tr>
      <w:tr w:rsidR="000D138B" w:rsidRPr="003E495D" w:rsidTr="00FD6ACC">
        <w:trPr>
          <w:trHeight w:val="33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sz w:val="28"/>
                <w:szCs w:val="28"/>
              </w:rPr>
              <w:t>заходів із популяризації культури безпеки життєдіяльності серед дітей і молоді</w:t>
            </w:r>
          </w:p>
        </w:tc>
        <w:tc>
          <w:tcPr>
            <w:tcW w:w="1834" w:type="pct"/>
          </w:tcPr>
          <w:p w:rsidR="000D138B" w:rsidRPr="00A13287" w:rsidRDefault="000D138B" w:rsidP="00B60E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ідділ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культури, 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освіти, молоді та спорту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 державної    адміністрації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– 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області (за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згодою), філія акціонерного товариства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„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Національна суспільна телерадіокомпанія України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„Закарпатська рег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іональна дирекція”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</w:tcPr>
          <w:p w:rsidR="000D138B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Протягом 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Розроблено комплекс заходів з формування в дітей і молоді культури безпеки життєдіяльності, здорового способу життя, оволодіння навичками самозахисту і рятування</w:t>
            </w:r>
          </w:p>
        </w:tc>
      </w:tr>
      <w:tr w:rsidR="000D138B" w:rsidRPr="003E495D" w:rsidTr="00FD6ACC">
        <w:trPr>
          <w:trHeight w:val="118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Всеукраїнської акції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„Герой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рятувальник року” та громадської акції „Запобігти. Врятувати. Допомогти”</w:t>
            </w:r>
          </w:p>
        </w:tc>
        <w:tc>
          <w:tcPr>
            <w:tcW w:w="1834" w:type="pct"/>
          </w:tcPr>
          <w:p w:rsidR="000D138B" w:rsidRPr="00A13287" w:rsidRDefault="000D138B" w:rsidP="00B60E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культури,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молоді та спорту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 – районної військової адміністрації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філія акціонерного товариства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„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Національна суспільна телерадіокомпанія України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„Закарпатська рег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іональна дирекція” (за згодою)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>, виконавчі органи місцевих рад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роведено Всеукраїнську акцію </w:t>
            </w: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Герой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рятувальник року”, громадську акцію </w:t>
            </w: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Запобігти. Врятувати. Допомогти”</w:t>
            </w:r>
          </w:p>
        </w:tc>
      </w:tr>
      <w:tr w:rsidR="000D138B" w:rsidRPr="003E495D" w:rsidTr="00FD6ACC">
        <w:trPr>
          <w:trHeight w:val="614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Створення циклу тематичних теле- та радіопередач, соціальної реклами з основ безпеки життєдіяльності, зокрема з урахуванням потреб осіб з інвалідністю</w:t>
            </w:r>
          </w:p>
        </w:tc>
        <w:tc>
          <w:tcPr>
            <w:tcW w:w="1834" w:type="pct"/>
          </w:tcPr>
          <w:p w:rsidR="000D138B" w:rsidRPr="00A13287" w:rsidRDefault="000D138B" w:rsidP="0028409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>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культури,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молоді та спорту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 – 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філія акціонерного товариства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„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Національна суспільна телерадіокомпанія України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„Закарпатська рег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іональна дирекція”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Створено цикл тематич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теле- та радіопередач, соціальної реклами з основ безпеки життєдіяльності</w:t>
            </w:r>
          </w:p>
        </w:tc>
      </w:tr>
      <w:tr w:rsidR="000D138B" w:rsidRPr="003E495D" w:rsidTr="00FD6ACC">
        <w:trPr>
          <w:trHeight w:val="614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Перегляд та коригування переліку територіальних базових (опорних) із питань цивільного захисту загальноосвітніх та дошкільних закладів освіти</w:t>
            </w:r>
          </w:p>
        </w:tc>
        <w:tc>
          <w:tcPr>
            <w:tcW w:w="1834" w:type="pct"/>
          </w:tcPr>
          <w:p w:rsidR="000D138B" w:rsidRPr="00A13287" w:rsidRDefault="000D138B" w:rsidP="00974F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A132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ідділ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культури, освіти, молоді та спорту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 – районної військової адміністрації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Переглянуто перелік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територіальних базових (опорних) із питань цивільного захисту загальноосвітніх та дошкільних закладів освіти</w:t>
            </w:r>
          </w:p>
        </w:tc>
      </w:tr>
      <w:tr w:rsidR="000D138B" w:rsidRPr="003E495D" w:rsidTr="00FD6ACC">
        <w:trPr>
          <w:trHeight w:val="331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Надання консультаційної, методичної допомоги керівникам підприємств, установ та організацій в організації підготовки і проведення спеціальних об’єктових навчань (тренувань) із цивільного захисту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</w:tcPr>
          <w:p w:rsidR="000D138B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Надано консультаційну та методичну допомогу</w:t>
            </w:r>
          </w:p>
        </w:tc>
      </w:tr>
      <w:tr w:rsidR="000D138B" w:rsidRPr="003E495D" w:rsidTr="00FD6ACC">
        <w:trPr>
          <w:trHeight w:val="614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Надання консультаційної та методичної допомоги у забезпеченні консультаційних пунктів інформаційно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довідковими куточками, посібниками, рекомендаціями, пам’ятками щодо дій населення під час виникнення можливих надзвичайних ситуацій, користування засобами захисту та надання першої медичної допомоги (само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та взаємодопомоги) постраждалим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</w:p>
        </w:tc>
        <w:tc>
          <w:tcPr>
            <w:tcW w:w="669" w:type="pct"/>
          </w:tcPr>
          <w:p w:rsidR="000D138B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Надано консультаційну   та методичну допомогу </w:t>
            </w:r>
          </w:p>
        </w:tc>
      </w:tr>
      <w:tr w:rsidR="000D138B" w:rsidRPr="003E495D" w:rsidTr="00FD6ACC">
        <w:trPr>
          <w:trHeight w:val="614"/>
        </w:trPr>
        <w:tc>
          <w:tcPr>
            <w:tcW w:w="211" w:type="pct"/>
          </w:tcPr>
          <w:p w:rsidR="000D138B" w:rsidRPr="0075265C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65C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Розроблення та виготовлення навчальних,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-наочних брошур, посібників, буклетів, пам’яток із питань безпеки життєдіяльності та цивільного захисту</w:t>
            </w:r>
          </w:p>
        </w:tc>
        <w:tc>
          <w:tcPr>
            <w:tcW w:w="1834" w:type="pct"/>
          </w:tcPr>
          <w:p w:rsidR="000D138B" w:rsidRPr="00A13287" w:rsidRDefault="000D138B" w:rsidP="00974F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ідділ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культури, </w:t>
            </w:r>
            <w:r w:rsidRPr="00A52D65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молоді та спорту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 – районної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</w:tcPr>
          <w:p w:rsidR="000D138B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Протягом 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Розроблено та виготовлено навчальні,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наочні брошури, посібники, буклети, пам’ятки з питань безпеки життєдіяльності та цивільного захисту</w:t>
            </w:r>
          </w:p>
        </w:tc>
      </w:tr>
      <w:tr w:rsidR="000D138B" w:rsidRPr="003E495D" w:rsidTr="00FD6ACC">
        <w:trPr>
          <w:trHeight w:val="405"/>
        </w:trPr>
        <w:tc>
          <w:tcPr>
            <w:tcW w:w="5000" w:type="pct"/>
            <w:gridSpan w:val="5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V. </w:t>
            </w:r>
            <w:r w:rsidRPr="00A132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Заходи у відбудовний період після закінчення воєнних дій</w:t>
            </w:r>
          </w:p>
        </w:tc>
      </w:tr>
      <w:tr w:rsidR="000D138B" w:rsidRPr="003E495D" w:rsidTr="00FD6ACC">
        <w:trPr>
          <w:trHeight w:val="451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Проведення відновлювальних робіт: *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38B" w:rsidRPr="003E495D" w:rsidTr="00FD6ACC">
        <w:trPr>
          <w:trHeight w:val="578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5D5E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формування потреби щодо кількості осіб, які підлягають цільовій мобілізації для ліквідації наслідків воєнних дій та надзвичайних ситуацій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подання відповідної потреби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Ужгородського районного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територіального центру комплекту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вання та соціальної підтримки 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сектору мобілі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заційної роботи апарату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військової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адміністрації</w:t>
            </w:r>
          </w:p>
        </w:tc>
        <w:tc>
          <w:tcPr>
            <w:tcW w:w="1834" w:type="pct"/>
          </w:tcPr>
          <w:p w:rsidR="000D138B" w:rsidRPr="00A13287" w:rsidRDefault="000D138B" w:rsidP="00C53EE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виконавчі органи місцевих рад (за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згодою),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Ужгородський РЕМ </w:t>
            </w:r>
            <w:r w:rsidRPr="003E495D">
              <w:t xml:space="preserve">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ПАТ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>Закарпаттяобленерго”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структурні підрозділи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військової адміністрації, установи 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підприємства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008" w:type="pct"/>
          </w:tcPr>
          <w:p w:rsidR="000D138B" w:rsidRPr="00A13287" w:rsidRDefault="000D138B" w:rsidP="005D5E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Сформовано потребу щодо кількості осіб, які підлягають цільовій мобілізації для ліквідації наслідків воєнних дій та надзвичайних ситуацій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подано відповідну потребу до сектору мобілі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заційної роботи апарату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військової адміністрації</w:t>
            </w:r>
          </w:p>
        </w:tc>
      </w:tr>
      <w:tr w:rsidR="000D138B" w:rsidRPr="003E495D" w:rsidTr="00FD6ACC">
        <w:trPr>
          <w:trHeight w:val="945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 узагальнення інформації щодо потреби у цільовій мобілізації осіб та здійснення організаційних заходів щодо проведення цільової мобілізації</w:t>
            </w:r>
          </w:p>
        </w:tc>
        <w:tc>
          <w:tcPr>
            <w:tcW w:w="1834" w:type="pct"/>
          </w:tcPr>
          <w:p w:rsidR="000D138B" w:rsidRPr="00A13287" w:rsidRDefault="000D138B" w:rsidP="002539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Ужгородський районний територіальний центр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комплектування та соціальної підтримки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сектор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мобілі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заційної роботи апарату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військової адміністрації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Узагальнено надану інформацію та здійснено організаційні заходи щодо проведення цільової мобілізації</w:t>
            </w:r>
          </w:p>
        </w:tc>
      </w:tr>
      <w:tr w:rsidR="000D138B" w:rsidRPr="003E495D" w:rsidTr="00FD6ACC">
        <w:trPr>
          <w:trHeight w:val="945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проведення цільової мобілізації для ліквідації наслідків ведення воєнних дій та надзвичайних ситуацій (за необхідності)</w:t>
            </w:r>
          </w:p>
        </w:tc>
        <w:tc>
          <w:tcPr>
            <w:tcW w:w="1834" w:type="pct"/>
          </w:tcPr>
          <w:p w:rsidR="000D138B" w:rsidRPr="00A13287" w:rsidRDefault="000D138B" w:rsidP="009237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Сектор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мобілі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заційної роботи апарату </w:t>
            </w:r>
            <w:r w:rsidRPr="003E495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державної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спільно з викона</w:t>
            </w:r>
            <w:r>
              <w:rPr>
                <w:rFonts w:ascii="Times New Roman" w:hAnsi="Times New Roman"/>
                <w:sz w:val="28"/>
                <w:szCs w:val="28"/>
              </w:rPr>
              <w:t>вчими органами місцевих рад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(за 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Ужгородський районний територіальний центр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комплектування та соціальної підтримки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Протягом </w:t>
            </w:r>
          </w:p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Проведено цільову мобілізацію для ліквідації наслідків ведення воєнних дій та надзвичайних ситуацій (за потреби)</w:t>
            </w:r>
          </w:p>
        </w:tc>
      </w:tr>
      <w:tr w:rsidR="000D138B" w:rsidRPr="003E495D" w:rsidTr="00FD6ACC">
        <w:trPr>
          <w:trHeight w:val="945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ліквідація наслідків воєнних дій у населених пунктах та на територіях, що зазнали впливу засобів ураження</w:t>
            </w:r>
          </w:p>
        </w:tc>
        <w:tc>
          <w:tcPr>
            <w:tcW w:w="1834" w:type="pct"/>
          </w:tcPr>
          <w:p w:rsidR="000D138B" w:rsidRPr="00A13287" w:rsidRDefault="000D138B" w:rsidP="00C53EE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bookmarkStart w:id="2" w:name="_Hlk104359563"/>
            <w:r w:rsidRPr="003E495D">
              <w:rPr>
                <w:rFonts w:ascii="Times New Roman" w:hAnsi="Times New Roman"/>
                <w:sz w:val="28"/>
                <w:szCs w:val="28"/>
              </w:rPr>
              <w:t xml:space="preserve">Ужгородський РЕМ </w:t>
            </w:r>
            <w:r w:rsidRPr="003E495D">
              <w:t xml:space="preserve"> 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 xml:space="preserve">ПАТ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3E495D">
              <w:rPr>
                <w:rFonts w:ascii="Times New Roman" w:hAnsi="Times New Roman"/>
                <w:sz w:val="28"/>
                <w:szCs w:val="28"/>
              </w:rPr>
              <w:t>Закарпаттяобленерго”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bookmarkEnd w:id="2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структурні підрозділи районної державної адміністрації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йськової адміністрації,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установи та підприємства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Здійснено заходи з ліквідації наслідків воєнних дій у населених пунктах та на територіях, що зазнали впливу засобів ураження</w:t>
            </w:r>
          </w:p>
        </w:tc>
      </w:tr>
      <w:tr w:rsidR="000D138B" w:rsidRPr="003E495D" w:rsidTr="00FD6ACC">
        <w:trPr>
          <w:trHeight w:val="750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відновлення об’єктів критичної інфраструктури сфери життєзабезпечення населення</w:t>
            </w:r>
          </w:p>
        </w:tc>
        <w:tc>
          <w:tcPr>
            <w:tcW w:w="1834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одою), структурні підрозділи районної державної адміністрації – районної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ійськової 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установи, організації та підприємства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Здійснено заходи щодо відновлення об’єктів критичної інфраструктури сфери життєзабезпечення населення</w:t>
            </w:r>
          </w:p>
        </w:tc>
      </w:tr>
      <w:tr w:rsidR="000D138B" w:rsidRPr="003E495D" w:rsidTr="00FD6ACC">
        <w:trPr>
          <w:trHeight w:val="945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 визначення населених пунктів району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що потребують проведення гуманітарного розмінування, маркування небезпечних ділянок, проведення очищення (розмінування) територій</w:t>
            </w:r>
          </w:p>
        </w:tc>
        <w:tc>
          <w:tcPr>
            <w:tcW w:w="1834" w:type="pct"/>
          </w:tcPr>
          <w:p w:rsidR="000D138B" w:rsidRPr="00A13287" w:rsidRDefault="000D138B" w:rsidP="00760A3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онавчі органи місцевих рад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начено населені пункти району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що потребують проведення гуманітарного розмінування, маркування небезпечних ділянок, проведення очищення (розмінування) територій</w:t>
            </w:r>
          </w:p>
        </w:tc>
      </w:tr>
      <w:tr w:rsidR="000D138B" w:rsidRPr="003E495D" w:rsidTr="00FD6ACC">
        <w:trPr>
          <w:trHeight w:val="945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залучення до ліквідації наслідків ведення воєнних дій та надзвичайних ситуацій міжнародної допомоги</w:t>
            </w:r>
          </w:p>
        </w:tc>
        <w:tc>
          <w:tcPr>
            <w:tcW w:w="1834" w:type="pct"/>
          </w:tcPr>
          <w:p w:rsidR="000D138B" w:rsidRPr="00DE2A66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иконавчі органи місце</w:t>
            </w:r>
            <w:r>
              <w:rPr>
                <w:rFonts w:ascii="Times New Roman" w:hAnsi="Times New Roman"/>
                <w:sz w:val="28"/>
                <w:szCs w:val="28"/>
              </w:rPr>
              <w:t>вих рад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(за згодою), </w:t>
            </w: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Протягом року до ліквідації наслідків ведення воєнних дій та надзвичайних ситуацій залучено іноземних рятувальників, отримано гуманітарну допомогу</w:t>
            </w:r>
          </w:p>
        </w:tc>
      </w:tr>
      <w:tr w:rsidR="000D138B" w:rsidRPr="003E495D" w:rsidTr="00FD6ACC">
        <w:trPr>
          <w:trHeight w:val="719"/>
        </w:trPr>
        <w:tc>
          <w:tcPr>
            <w:tcW w:w="211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278" w:type="pct"/>
            <w:shd w:val="clear" w:color="auto" w:fill="FFFFFF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Формування переліку інженерної техніки для її залучення до виконання заходів із ліквідації наслідків збройної агресії або проведення заходів цільової мобілізації</w:t>
            </w:r>
          </w:p>
        </w:tc>
        <w:tc>
          <w:tcPr>
            <w:tcW w:w="1834" w:type="pct"/>
          </w:tcPr>
          <w:p w:rsidR="000D138B" w:rsidRPr="00A13287" w:rsidRDefault="000D138B" w:rsidP="00DE2A6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Ужгородське районне управління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конавчі органи місцевих рад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Ужгородський районний територіальний центр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комплектування та соціальної підтримки (за згодою)</w:t>
            </w:r>
          </w:p>
        </w:tc>
        <w:tc>
          <w:tcPr>
            <w:tcW w:w="669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ІІ квартал</w:t>
            </w:r>
          </w:p>
        </w:tc>
        <w:tc>
          <w:tcPr>
            <w:tcW w:w="1008" w:type="pct"/>
          </w:tcPr>
          <w:p w:rsidR="000D138B" w:rsidRPr="00A13287" w:rsidRDefault="000D138B" w:rsidP="00FD6A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Сформовано перелік інженерної техніки для її залучення до виконання заходів із ліквідації наслідків збройної агресії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проведено заходи цільової мобілізаці</w:t>
            </w:r>
          </w:p>
        </w:tc>
      </w:tr>
    </w:tbl>
    <w:p w:rsidR="000D138B" w:rsidRPr="00CE545F" w:rsidRDefault="000D138B" w:rsidP="006F5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38B" w:rsidRPr="00CE545F" w:rsidRDefault="000D138B" w:rsidP="006F5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38B" w:rsidRDefault="000D138B" w:rsidP="000B6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573">
        <w:rPr>
          <w:rFonts w:ascii="Times New Roman" w:hAnsi="Times New Roman"/>
          <w:sz w:val="28"/>
          <w:szCs w:val="28"/>
        </w:rPr>
        <w:t>*Примітка</w:t>
      </w:r>
      <w:r>
        <w:rPr>
          <w:rFonts w:ascii="Times New Roman" w:hAnsi="Times New Roman"/>
          <w:sz w:val="28"/>
          <w:szCs w:val="28"/>
        </w:rPr>
        <w:t>.</w:t>
      </w:r>
      <w:r w:rsidRPr="006F6573">
        <w:rPr>
          <w:rFonts w:ascii="Times New Roman" w:hAnsi="Times New Roman"/>
          <w:sz w:val="28"/>
          <w:szCs w:val="28"/>
        </w:rPr>
        <w:t xml:space="preserve"> Проведення заходів після закінчення воєнного стану, деокупації чи розмінування територій, поновлення</w:t>
      </w:r>
      <w:r>
        <w:rPr>
          <w:rFonts w:ascii="Times New Roman" w:hAnsi="Times New Roman"/>
          <w:sz w:val="28"/>
          <w:szCs w:val="28"/>
        </w:rPr>
        <w:t xml:space="preserve"> інфраструктури.</w:t>
      </w:r>
    </w:p>
    <w:p w:rsidR="000D138B" w:rsidRDefault="000D138B" w:rsidP="006F5398">
      <w:pPr>
        <w:spacing w:after="0" w:line="240" w:lineRule="auto"/>
      </w:pPr>
    </w:p>
    <w:sectPr w:rsidR="000D138B" w:rsidSect="00FC1868">
      <w:headerReference w:type="default" r:id="rId11"/>
      <w:pgSz w:w="16838" w:h="11906" w:orient="landscape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8B" w:rsidRDefault="000D138B" w:rsidP="006F5398">
      <w:pPr>
        <w:spacing w:after="0" w:line="240" w:lineRule="auto"/>
      </w:pPr>
      <w:r>
        <w:separator/>
      </w:r>
    </w:p>
  </w:endnote>
  <w:endnote w:type="continuationSeparator" w:id="1">
    <w:p w:rsidR="000D138B" w:rsidRDefault="000D138B" w:rsidP="006F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8B" w:rsidRDefault="000D138B" w:rsidP="006F5398">
      <w:pPr>
        <w:spacing w:after="0" w:line="240" w:lineRule="auto"/>
      </w:pPr>
      <w:r>
        <w:separator/>
      </w:r>
    </w:p>
  </w:footnote>
  <w:footnote w:type="continuationSeparator" w:id="1">
    <w:p w:rsidR="000D138B" w:rsidRDefault="000D138B" w:rsidP="006F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8B" w:rsidRPr="006F5398" w:rsidRDefault="000D138B">
    <w:pPr>
      <w:pStyle w:val="Header"/>
      <w:jc w:val="center"/>
      <w:rPr>
        <w:rFonts w:ascii="Times New Roman" w:hAnsi="Times New Roman"/>
        <w:sz w:val="28"/>
        <w:szCs w:val="28"/>
      </w:rPr>
    </w:pPr>
    <w:r w:rsidRPr="006F5398">
      <w:rPr>
        <w:rFonts w:ascii="Times New Roman" w:hAnsi="Times New Roman"/>
        <w:sz w:val="28"/>
        <w:szCs w:val="28"/>
      </w:rPr>
      <w:fldChar w:fldCharType="begin"/>
    </w:r>
    <w:r w:rsidRPr="006F5398">
      <w:rPr>
        <w:rFonts w:ascii="Times New Roman" w:hAnsi="Times New Roman"/>
        <w:sz w:val="28"/>
        <w:szCs w:val="28"/>
      </w:rPr>
      <w:instrText>PAGE   \* MERGEFORMAT</w:instrText>
    </w:r>
    <w:r w:rsidRPr="006F5398">
      <w:rPr>
        <w:rFonts w:ascii="Times New Roman" w:hAnsi="Times New Roman"/>
        <w:sz w:val="28"/>
        <w:szCs w:val="28"/>
      </w:rPr>
      <w:fldChar w:fldCharType="separate"/>
    </w:r>
    <w:r w:rsidRPr="0034731B">
      <w:rPr>
        <w:rFonts w:ascii="Times New Roman" w:hAnsi="Times New Roman"/>
        <w:noProof/>
        <w:sz w:val="28"/>
        <w:szCs w:val="28"/>
        <w:lang w:val="ru-RU"/>
      </w:rPr>
      <w:t>31</w:t>
    </w:r>
    <w:r w:rsidRPr="006F5398">
      <w:rPr>
        <w:rFonts w:ascii="Times New Roman" w:hAnsi="Times New Roman"/>
        <w:sz w:val="28"/>
        <w:szCs w:val="28"/>
      </w:rPr>
      <w:fldChar w:fldCharType="end"/>
    </w:r>
  </w:p>
  <w:p w:rsidR="000D138B" w:rsidRPr="006F5398" w:rsidRDefault="000D138B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6EDC"/>
    <w:multiLevelType w:val="hybridMultilevel"/>
    <w:tmpl w:val="A5227EA2"/>
    <w:lvl w:ilvl="0" w:tplc="73C8543A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357878FF"/>
    <w:multiLevelType w:val="hybridMultilevel"/>
    <w:tmpl w:val="D780C6A0"/>
    <w:lvl w:ilvl="0" w:tplc="F70C2B9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398"/>
    <w:rsid w:val="00000748"/>
    <w:rsid w:val="00012071"/>
    <w:rsid w:val="00013721"/>
    <w:rsid w:val="00013E79"/>
    <w:rsid w:val="0001539B"/>
    <w:rsid w:val="00046AF3"/>
    <w:rsid w:val="000726D3"/>
    <w:rsid w:val="0007637D"/>
    <w:rsid w:val="00077ED0"/>
    <w:rsid w:val="00085B87"/>
    <w:rsid w:val="0009153C"/>
    <w:rsid w:val="000A7B99"/>
    <w:rsid w:val="000B684F"/>
    <w:rsid w:val="000C5B78"/>
    <w:rsid w:val="000C6132"/>
    <w:rsid w:val="000C6A1F"/>
    <w:rsid w:val="000D138B"/>
    <w:rsid w:val="000D6493"/>
    <w:rsid w:val="000E5D26"/>
    <w:rsid w:val="00106653"/>
    <w:rsid w:val="0011399A"/>
    <w:rsid w:val="00121D1F"/>
    <w:rsid w:val="0013011E"/>
    <w:rsid w:val="001339AC"/>
    <w:rsid w:val="0016383B"/>
    <w:rsid w:val="001941B6"/>
    <w:rsid w:val="001A2BFB"/>
    <w:rsid w:val="001C3B52"/>
    <w:rsid w:val="001D7E58"/>
    <w:rsid w:val="001E0654"/>
    <w:rsid w:val="001F0C1F"/>
    <w:rsid w:val="001F78C9"/>
    <w:rsid w:val="0020685A"/>
    <w:rsid w:val="00212AFA"/>
    <w:rsid w:val="00233863"/>
    <w:rsid w:val="00252A86"/>
    <w:rsid w:val="002539EC"/>
    <w:rsid w:val="002639F7"/>
    <w:rsid w:val="00277623"/>
    <w:rsid w:val="00284092"/>
    <w:rsid w:val="00292AB3"/>
    <w:rsid w:val="002A3105"/>
    <w:rsid w:val="002B0C48"/>
    <w:rsid w:val="002B34F8"/>
    <w:rsid w:val="002C1744"/>
    <w:rsid w:val="002F7840"/>
    <w:rsid w:val="00302ED1"/>
    <w:rsid w:val="00304A22"/>
    <w:rsid w:val="00316B3B"/>
    <w:rsid w:val="00320ADB"/>
    <w:rsid w:val="0033529F"/>
    <w:rsid w:val="0034731B"/>
    <w:rsid w:val="00353B02"/>
    <w:rsid w:val="003769AE"/>
    <w:rsid w:val="00376FCF"/>
    <w:rsid w:val="00377D36"/>
    <w:rsid w:val="00380748"/>
    <w:rsid w:val="00387A73"/>
    <w:rsid w:val="00397A19"/>
    <w:rsid w:val="003B0625"/>
    <w:rsid w:val="003B6385"/>
    <w:rsid w:val="003E495D"/>
    <w:rsid w:val="003E7AB3"/>
    <w:rsid w:val="003E7B88"/>
    <w:rsid w:val="003F74A7"/>
    <w:rsid w:val="00402202"/>
    <w:rsid w:val="0040711E"/>
    <w:rsid w:val="00412D36"/>
    <w:rsid w:val="00420705"/>
    <w:rsid w:val="00422BC1"/>
    <w:rsid w:val="00441FCF"/>
    <w:rsid w:val="004572A9"/>
    <w:rsid w:val="00477B5F"/>
    <w:rsid w:val="004B1754"/>
    <w:rsid w:val="004B699E"/>
    <w:rsid w:val="004C22E9"/>
    <w:rsid w:val="004E2A08"/>
    <w:rsid w:val="004F3E45"/>
    <w:rsid w:val="005276D5"/>
    <w:rsid w:val="005369B4"/>
    <w:rsid w:val="00561FE7"/>
    <w:rsid w:val="005653CF"/>
    <w:rsid w:val="0059733F"/>
    <w:rsid w:val="00597759"/>
    <w:rsid w:val="005A27C8"/>
    <w:rsid w:val="005A3745"/>
    <w:rsid w:val="005C55DE"/>
    <w:rsid w:val="005D5E46"/>
    <w:rsid w:val="005D6769"/>
    <w:rsid w:val="005E63B8"/>
    <w:rsid w:val="00610452"/>
    <w:rsid w:val="00630C7A"/>
    <w:rsid w:val="0063192B"/>
    <w:rsid w:val="006420AB"/>
    <w:rsid w:val="00642F20"/>
    <w:rsid w:val="00686D33"/>
    <w:rsid w:val="006938B8"/>
    <w:rsid w:val="006A16FA"/>
    <w:rsid w:val="006A3CDB"/>
    <w:rsid w:val="006B6D35"/>
    <w:rsid w:val="006C26D7"/>
    <w:rsid w:val="006D1352"/>
    <w:rsid w:val="006D2758"/>
    <w:rsid w:val="006F5398"/>
    <w:rsid w:val="006F6573"/>
    <w:rsid w:val="007069B8"/>
    <w:rsid w:val="007178AC"/>
    <w:rsid w:val="00734D29"/>
    <w:rsid w:val="00736EDC"/>
    <w:rsid w:val="0075265C"/>
    <w:rsid w:val="00760A3E"/>
    <w:rsid w:val="00762A41"/>
    <w:rsid w:val="007730A4"/>
    <w:rsid w:val="00782FC0"/>
    <w:rsid w:val="00795FB7"/>
    <w:rsid w:val="007B2CA6"/>
    <w:rsid w:val="007D35F3"/>
    <w:rsid w:val="007E4573"/>
    <w:rsid w:val="007F6C77"/>
    <w:rsid w:val="0080265A"/>
    <w:rsid w:val="0081602A"/>
    <w:rsid w:val="008403A0"/>
    <w:rsid w:val="008468C2"/>
    <w:rsid w:val="00851342"/>
    <w:rsid w:val="00890878"/>
    <w:rsid w:val="008C1C6D"/>
    <w:rsid w:val="008D2E1E"/>
    <w:rsid w:val="00901ADB"/>
    <w:rsid w:val="00903D4A"/>
    <w:rsid w:val="00913FB6"/>
    <w:rsid w:val="009169AB"/>
    <w:rsid w:val="009237D2"/>
    <w:rsid w:val="00925DF9"/>
    <w:rsid w:val="00927604"/>
    <w:rsid w:val="00940E79"/>
    <w:rsid w:val="009415DE"/>
    <w:rsid w:val="0095604E"/>
    <w:rsid w:val="00974F1F"/>
    <w:rsid w:val="00980338"/>
    <w:rsid w:val="00982E59"/>
    <w:rsid w:val="0098586E"/>
    <w:rsid w:val="009A0890"/>
    <w:rsid w:val="009A4DC8"/>
    <w:rsid w:val="009C5724"/>
    <w:rsid w:val="009D0ADD"/>
    <w:rsid w:val="009D13A9"/>
    <w:rsid w:val="009E24EA"/>
    <w:rsid w:val="009F1560"/>
    <w:rsid w:val="00A13287"/>
    <w:rsid w:val="00A20DAC"/>
    <w:rsid w:val="00A223A8"/>
    <w:rsid w:val="00A26633"/>
    <w:rsid w:val="00A279C1"/>
    <w:rsid w:val="00A44ABF"/>
    <w:rsid w:val="00A47367"/>
    <w:rsid w:val="00A52D65"/>
    <w:rsid w:val="00AB5770"/>
    <w:rsid w:val="00AC1696"/>
    <w:rsid w:val="00AC5828"/>
    <w:rsid w:val="00AE2E8A"/>
    <w:rsid w:val="00AF67FE"/>
    <w:rsid w:val="00B01D0D"/>
    <w:rsid w:val="00B0774E"/>
    <w:rsid w:val="00B235DF"/>
    <w:rsid w:val="00B31C6F"/>
    <w:rsid w:val="00B34C17"/>
    <w:rsid w:val="00B42F0D"/>
    <w:rsid w:val="00B60E12"/>
    <w:rsid w:val="00B65960"/>
    <w:rsid w:val="00B663AC"/>
    <w:rsid w:val="00B71CC2"/>
    <w:rsid w:val="00BA0EC9"/>
    <w:rsid w:val="00BA323F"/>
    <w:rsid w:val="00BD6D98"/>
    <w:rsid w:val="00BE7906"/>
    <w:rsid w:val="00BF2E8F"/>
    <w:rsid w:val="00C036F5"/>
    <w:rsid w:val="00C202A7"/>
    <w:rsid w:val="00C332F8"/>
    <w:rsid w:val="00C4040C"/>
    <w:rsid w:val="00C40CE7"/>
    <w:rsid w:val="00C42D77"/>
    <w:rsid w:val="00C44C65"/>
    <w:rsid w:val="00C53EED"/>
    <w:rsid w:val="00C54BD4"/>
    <w:rsid w:val="00C6018C"/>
    <w:rsid w:val="00C641D9"/>
    <w:rsid w:val="00C6793B"/>
    <w:rsid w:val="00C714B4"/>
    <w:rsid w:val="00C74DB5"/>
    <w:rsid w:val="00C91541"/>
    <w:rsid w:val="00CA1EF9"/>
    <w:rsid w:val="00CB1227"/>
    <w:rsid w:val="00CB31CC"/>
    <w:rsid w:val="00CB56C6"/>
    <w:rsid w:val="00CE25F5"/>
    <w:rsid w:val="00CE545F"/>
    <w:rsid w:val="00D02531"/>
    <w:rsid w:val="00D421F3"/>
    <w:rsid w:val="00D51C44"/>
    <w:rsid w:val="00D543B4"/>
    <w:rsid w:val="00D85049"/>
    <w:rsid w:val="00D87853"/>
    <w:rsid w:val="00DA18D5"/>
    <w:rsid w:val="00DB0A2A"/>
    <w:rsid w:val="00DD02DF"/>
    <w:rsid w:val="00DE154B"/>
    <w:rsid w:val="00DE2A66"/>
    <w:rsid w:val="00E4059D"/>
    <w:rsid w:val="00E5221B"/>
    <w:rsid w:val="00E53C04"/>
    <w:rsid w:val="00E70CAC"/>
    <w:rsid w:val="00E850AA"/>
    <w:rsid w:val="00EB28AF"/>
    <w:rsid w:val="00EF7D72"/>
    <w:rsid w:val="00F02311"/>
    <w:rsid w:val="00F02BC0"/>
    <w:rsid w:val="00F37CDA"/>
    <w:rsid w:val="00F40036"/>
    <w:rsid w:val="00F536F8"/>
    <w:rsid w:val="00F65940"/>
    <w:rsid w:val="00F672AD"/>
    <w:rsid w:val="00F74660"/>
    <w:rsid w:val="00F75590"/>
    <w:rsid w:val="00F80F97"/>
    <w:rsid w:val="00FA73AA"/>
    <w:rsid w:val="00FB6760"/>
    <w:rsid w:val="00FC1868"/>
    <w:rsid w:val="00FC69B7"/>
    <w:rsid w:val="00FD1913"/>
    <w:rsid w:val="00F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53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39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53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3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53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53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F5398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0726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CYR" w:hAnsi="Arial CYR" w:cs="Arial CYR"/>
      <w:sz w:val="24"/>
      <w:szCs w:val="24"/>
      <w:lang w:val="ru-RU" w:eastAsia="ru-RU"/>
    </w:rPr>
  </w:style>
  <w:style w:type="paragraph" w:customStyle="1" w:styleId="10">
    <w:name w:val="Обычный1"/>
    <w:uiPriority w:val="99"/>
    <w:rsid w:val="000726D3"/>
    <w:pPr>
      <w:widowControl w:val="0"/>
    </w:pPr>
    <w:rPr>
      <w:rFonts w:ascii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DB0A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pathia.gov.ua/pidrozdili-oda/departament-ekonomichnogo-ta-regionalnogo-rozvitku-torgivli-zaluchennya-investicij-zabezpechennya-vikonannya-derzhavnih-program-ta-kontrolyu-za-yih-vikonannyam?v=6144453c1ffa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pathia.gov.ua/pidrozdili-oda/departament-ekonomichnogo-ta-regionalnogo-rozvitku-torgivli-zaluchennya-investicij-zabezpechennya-vikonannya-derzhavnih-program-ta-kontrolyu-za-yih-vikonannyam?v=6144453c1ffa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arpathia.gov.ua/pidrozdili-oda/departament-ekonomichnogo-ta-regionalnogo-rozvitku-torgivli-zaluchennya-investicij-zabezpechennya-vikonannya-derzhavnih-program-ta-kontrolyu-za-yih-vikonannyam?v=6144453c1ff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pathia.gov.ua/pidrozdili-oda/departament-ekonomichnogo-ta-regionalnogo-rozvitku-torgivli-zaluchennya-investicij-zabezpechennya-vikonannya-derzhavnih-program-ta-kontrolyu-za-yih-vikonannyam?v=6144453c1ff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31</Pages>
  <Words>25015</Words>
  <Characters>14260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390</cp:revision>
  <cp:lastPrinted>2023-05-22T08:00:00Z</cp:lastPrinted>
  <dcterms:created xsi:type="dcterms:W3CDTF">2023-05-19T11:49:00Z</dcterms:created>
  <dcterms:modified xsi:type="dcterms:W3CDTF">2023-06-05T08:37:00Z</dcterms:modified>
</cp:coreProperties>
</file>