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Spec="center" w:tblpY="-231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217"/>
        <w:gridCol w:w="7480"/>
      </w:tblGrid>
      <w:tr w:rsidR="00350611" w:rsidRPr="00A642BB" w:rsidTr="00651C1E">
        <w:trPr>
          <w:trHeight w:val="489"/>
        </w:trPr>
        <w:tc>
          <w:tcPr>
            <w:tcW w:w="10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611" w:rsidRPr="00A642BB" w:rsidRDefault="00350611" w:rsidP="00651C1E">
            <w:pPr>
              <w:pStyle w:val="TableParagraph"/>
              <w:ind w:left="1134" w:right="123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1AC3">
              <w:rPr>
                <w:rFonts w:ascii="Times New Roman" w:hAnsi="Times New Roman" w:cs="Times New Roman"/>
                <w:b/>
                <w:sz w:val="32"/>
              </w:rPr>
              <w:t xml:space="preserve">Анкета інвестиційного </w:t>
            </w:r>
            <w:proofErr w:type="spellStart"/>
            <w:r w:rsidRPr="001A1AC3">
              <w:rPr>
                <w:rFonts w:ascii="Times New Roman" w:hAnsi="Times New Roman" w:cs="Times New Roman"/>
                <w:b/>
                <w:sz w:val="32"/>
              </w:rPr>
              <w:t>проєкту</w:t>
            </w:r>
            <w:proofErr w:type="spellEnd"/>
            <w:r w:rsidRPr="001A1AC3">
              <w:rPr>
                <w:rFonts w:ascii="Times New Roman" w:hAnsi="Times New Roman" w:cs="Times New Roman"/>
                <w:b/>
                <w:sz w:val="32"/>
              </w:rPr>
              <w:t xml:space="preserve"> (пропозиції)</w:t>
            </w:r>
          </w:p>
        </w:tc>
      </w:tr>
      <w:tr w:rsidR="00350611" w:rsidRPr="00A642BB" w:rsidTr="00651C1E">
        <w:trPr>
          <w:trHeight w:val="489"/>
        </w:trPr>
        <w:tc>
          <w:tcPr>
            <w:tcW w:w="1017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611" w:rsidRPr="00A642BB" w:rsidRDefault="00350611" w:rsidP="00651C1E">
            <w:pPr>
              <w:pStyle w:val="TableParagraph"/>
              <w:ind w:left="1134" w:right="123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42BB">
              <w:rPr>
                <w:rFonts w:ascii="Times New Roman" w:hAnsi="Times New Roman" w:cs="Times New Roman"/>
                <w:b/>
                <w:sz w:val="28"/>
              </w:rPr>
              <w:t>Загальний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642BB">
              <w:rPr>
                <w:rFonts w:ascii="Times New Roman" w:hAnsi="Times New Roman" w:cs="Times New Roman"/>
                <w:b/>
                <w:sz w:val="28"/>
              </w:rPr>
              <w:t>опис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642BB">
              <w:rPr>
                <w:rFonts w:ascii="Times New Roman" w:hAnsi="Times New Roman" w:cs="Times New Roman"/>
                <w:b/>
                <w:sz w:val="28"/>
              </w:rPr>
              <w:t>проекту</w:t>
            </w:r>
          </w:p>
        </w:tc>
      </w:tr>
      <w:tr w:rsidR="00350611" w:rsidRPr="004C0026" w:rsidTr="00651C1E">
        <w:trPr>
          <w:trHeight w:val="750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spacing w:line="233" w:lineRule="exact"/>
              <w:rPr>
                <w:rFonts w:ascii="Times New Roman" w:hAnsi="Times New Roman" w:cs="Times New Roman"/>
                <w:b/>
                <w:i/>
              </w:rPr>
            </w:pPr>
            <w:r w:rsidRPr="00077C68">
              <w:rPr>
                <w:rFonts w:ascii="Times New Roman" w:hAnsi="Times New Roman" w:cs="Times New Roman"/>
                <w:b/>
                <w:i/>
              </w:rPr>
              <w:t xml:space="preserve">Реконструкція </w:t>
            </w:r>
            <w:proofErr w:type="spellStart"/>
            <w:r w:rsidRPr="00077C68">
              <w:rPr>
                <w:rFonts w:ascii="Times New Roman" w:hAnsi="Times New Roman" w:cs="Times New Roman"/>
                <w:b/>
                <w:i/>
              </w:rPr>
              <w:t>каналізаційно</w:t>
            </w:r>
            <w:proofErr w:type="spellEnd"/>
            <w:r w:rsidRPr="00077C68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77C68">
              <w:rPr>
                <w:rFonts w:ascii="Times New Roman" w:hAnsi="Times New Roman" w:cs="Times New Roman"/>
                <w:b/>
                <w:i/>
              </w:rPr>
              <w:t>очисних споруд в м. Чоп, Закарпатської області</w:t>
            </w:r>
          </w:p>
        </w:tc>
      </w:tr>
      <w:tr w:rsidR="00350611" w:rsidRPr="00350611" w:rsidTr="00651C1E">
        <w:trPr>
          <w:trHeight w:val="1314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Короткий о</w:t>
            </w:r>
            <w:r w:rsidRPr="004C0026">
              <w:rPr>
                <w:rFonts w:ascii="Times New Roman" w:hAnsi="Times New Roman" w:cs="Times New Roman"/>
                <w:b/>
              </w:rPr>
              <w:t>пис</w:t>
            </w:r>
            <w:r w:rsidR="00111FC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проє</w:t>
            </w:r>
            <w:r w:rsidRPr="004C0026">
              <w:rPr>
                <w:rFonts w:ascii="Times New Roman" w:hAnsi="Times New Roman" w:cs="Times New Roman"/>
                <w:b/>
              </w:rPr>
              <w:t>кту</w:t>
            </w:r>
            <w:proofErr w:type="spellEnd"/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33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Обладнання чопської </w:t>
            </w:r>
            <w:proofErr w:type="spellStart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proofErr w:type="spellEnd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 повністю зношене та знаходиться в аварійному стані і це не дозволяє належним чином очистити каналізаційні стоки міста, що призводить до забруднення прикордонної річки Тиса і річки Дунай. З двох великих артерій здійснюється водопостачання багатьох великих та середніх міст Східноєвропейських країн. З метою виправлення екологічної ситуації, яка може привести до екологічної катастрофи,  був виготовлений проект реконструкції Чопської </w:t>
            </w:r>
            <w:proofErr w:type="spellStart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proofErr w:type="spellEnd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 шляхом будівництва нової </w:t>
            </w:r>
            <w:proofErr w:type="spellStart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proofErr w:type="spellEnd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 на території існуючої. На даний момент вже є комплексний позитивний висновок Державної будівельної експертизи проекту будівництва </w:t>
            </w:r>
            <w:proofErr w:type="spellStart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proofErr w:type="spellEnd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,  що дає дозвіл негайно розпочати роботи.</w:t>
            </w:r>
          </w:p>
        </w:tc>
      </w:tr>
      <w:tr w:rsidR="00350611" w:rsidRPr="00EC1619" w:rsidTr="00651C1E">
        <w:trPr>
          <w:trHeight w:val="978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ind w:left="110" w:right="977"/>
              <w:rPr>
                <w:rFonts w:ascii="Times New Roman" w:hAnsi="Times New Roman" w:cs="Times New Roman"/>
                <w:b/>
              </w:rPr>
            </w:pPr>
            <w:r w:rsidRPr="004C0026">
              <w:rPr>
                <w:rFonts w:ascii="Times New Roman" w:hAnsi="Times New Roman" w:cs="Times New Roman"/>
                <w:b/>
              </w:rPr>
              <w:t>Продукція/послуги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EC1619" w:rsidRDefault="00350611" w:rsidP="00651C1E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619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Чопської міської ради «Водоканал Чоп» здійснює централізоване водовідведення та очистку каналізаційних стічних вод від житлових, комунальних виробничих та комерційних об'єктів м. Чоп. Система водовідведення міста складається з 20,1 км каналізаційних мереж, 7 каналізаційно-насосних станцій (КНС) та каналізаційних очисних споруд (</w:t>
            </w:r>
            <w:proofErr w:type="spellStart"/>
            <w:r w:rsidRPr="00EC1619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proofErr w:type="spellEnd"/>
            <w:r w:rsidRPr="00EC1619">
              <w:rPr>
                <w:rFonts w:ascii="Times New Roman" w:hAnsi="Times New Roman" w:cs="Times New Roman"/>
                <w:sz w:val="20"/>
                <w:szCs w:val="20"/>
              </w:rPr>
              <w:t xml:space="preserve">) потужністю 2250 м. куб/добу, відповідно до дозволу на спеціальне водокористування. </w:t>
            </w:r>
          </w:p>
        </w:tc>
      </w:tr>
      <w:tr w:rsidR="00350611" w:rsidRPr="00121BB0" w:rsidTr="00651C1E">
        <w:trPr>
          <w:trHeight w:val="759"/>
        </w:trPr>
        <w:tc>
          <w:tcPr>
            <w:tcW w:w="2477" w:type="dxa"/>
            <w:shd w:val="clear" w:color="auto" w:fill="auto"/>
            <w:vAlign w:val="center"/>
          </w:tcPr>
          <w:p w:rsidR="00350611" w:rsidRDefault="00350611" w:rsidP="00651C1E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Огляд ринку</w:t>
            </w:r>
          </w:p>
          <w:p w:rsidR="00350611" w:rsidRPr="00EC3C9A" w:rsidRDefault="00350611" w:rsidP="00651C1E">
            <w:pPr>
              <w:pStyle w:val="TableParagraph"/>
              <w:ind w:left="110"/>
              <w:rPr>
                <w:rFonts w:ascii="Times New Roman" w:hAnsi="Times New Roman" w:cs="Times New Roman"/>
                <w:spacing w:val="-53"/>
              </w:rPr>
            </w:pPr>
            <w:r w:rsidRPr="00EC3C9A">
              <w:rPr>
                <w:rFonts w:ascii="Times New Roman" w:hAnsi="Times New Roman" w:cs="Times New Roman"/>
              </w:rPr>
              <w:t>(внутрішній/зовнішній)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Внутрішній</w:t>
            </w:r>
          </w:p>
        </w:tc>
      </w:tr>
      <w:tr w:rsidR="00350611" w:rsidRPr="00121BB0" w:rsidTr="00651C1E">
        <w:trPr>
          <w:trHeight w:val="748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ind w:left="110" w:right="244"/>
              <w:rPr>
                <w:rFonts w:ascii="Times New Roman" w:hAnsi="Times New Roman" w:cs="Times New Roman"/>
                <w:b/>
              </w:rPr>
            </w:pPr>
            <w:r w:rsidRPr="004C0026">
              <w:rPr>
                <w:rFonts w:ascii="Times New Roman" w:hAnsi="Times New Roman" w:cs="Times New Roman"/>
                <w:b/>
              </w:rPr>
              <w:t>Рівень готовності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проє</w:t>
            </w:r>
            <w:r w:rsidRPr="004C0026">
              <w:rPr>
                <w:rFonts w:ascii="Times New Roman" w:hAnsi="Times New Roman" w:cs="Times New Roman"/>
                <w:b/>
              </w:rPr>
              <w:t>кту</w:t>
            </w:r>
            <w:proofErr w:type="spellEnd"/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right="10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Проєкт</w:t>
            </w:r>
            <w:proofErr w:type="spellEnd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має позитивний висновок </w:t>
            </w: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експетризи</w:t>
            </w:r>
            <w:proofErr w:type="spellEnd"/>
          </w:p>
        </w:tc>
      </w:tr>
      <w:tr w:rsidR="00350611" w:rsidRPr="00121BB0" w:rsidTr="00651C1E">
        <w:trPr>
          <w:trHeight w:val="1000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ind w:left="110" w:right="2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Цілі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35061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ind w:right="101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Збільшення кількості споживачів, заміна вигрібних ям на каналіз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ційні мережі;</w:t>
            </w:r>
          </w:p>
          <w:p w:rsidR="00350611" w:rsidRPr="00121BB0" w:rsidRDefault="00350611" w:rsidP="0035061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ind w:right="10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Очищення річки Тиса від каналізаційних стоків;</w:t>
            </w:r>
          </w:p>
          <w:p w:rsidR="00350611" w:rsidRPr="00350611" w:rsidRDefault="00350611" w:rsidP="0035061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ind w:right="10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иправлення екологічної ситуації</w:t>
            </w:r>
          </w:p>
        </w:tc>
      </w:tr>
      <w:tr w:rsidR="00350611" w:rsidRPr="00121BB0" w:rsidTr="00350611">
        <w:trPr>
          <w:trHeight w:val="2118"/>
        </w:trPr>
        <w:tc>
          <w:tcPr>
            <w:tcW w:w="2477" w:type="dxa"/>
            <w:shd w:val="clear" w:color="auto" w:fill="auto"/>
            <w:vAlign w:val="center"/>
          </w:tcPr>
          <w:p w:rsidR="00350611" w:rsidRDefault="00350611" w:rsidP="00651C1E">
            <w:pPr>
              <w:pStyle w:val="TableParagraph"/>
              <w:ind w:left="110" w:right="2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Передбачуваний результат реалізації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EC1619" w:rsidRDefault="00350611" w:rsidP="00651C1E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619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нових сучасних компактних очисних споруд механічної та повної біологічної очистки з впровадженням технології механічного зневоднення осаду та знезараження очищених стічних вод, які дозволять зменшити енергоспоживання очисних споруд, а також знизити експлуатаційні витрати за рахунок меншої кількості працюючих та застосування сучасного обладнання та матеріалів. </w:t>
            </w:r>
          </w:p>
          <w:p w:rsidR="00350611" w:rsidRPr="00EC1619" w:rsidRDefault="00350611" w:rsidP="00651C1E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619">
              <w:rPr>
                <w:rFonts w:ascii="Times New Roman" w:hAnsi="Times New Roman" w:cs="Times New Roman"/>
                <w:sz w:val="20"/>
                <w:szCs w:val="20"/>
              </w:rPr>
              <w:t xml:space="preserve">Після реконструкції каналізаційних очисних споруд видатки на їхнє обслуговування значно зменшаться.  </w:t>
            </w:r>
          </w:p>
          <w:p w:rsidR="00350611" w:rsidRPr="00350611" w:rsidRDefault="00350611" w:rsidP="00350611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619">
              <w:rPr>
                <w:rFonts w:ascii="Times New Roman" w:hAnsi="Times New Roman" w:cs="Times New Roman"/>
                <w:sz w:val="20"/>
                <w:szCs w:val="20"/>
              </w:rPr>
              <w:t>Подальше обслуговування каналізаційних очисних споруд буде проходити коштами доходів підприємства.</w:t>
            </w:r>
          </w:p>
        </w:tc>
      </w:tr>
      <w:tr w:rsidR="00350611" w:rsidRPr="00121BB0" w:rsidTr="00651C1E">
        <w:trPr>
          <w:trHeight w:val="491"/>
        </w:trPr>
        <w:tc>
          <w:tcPr>
            <w:tcW w:w="10174" w:type="dxa"/>
            <w:gridSpan w:val="3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1134" w:right="1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Необхідніінвестиції</w:t>
            </w:r>
            <w:proofErr w:type="spellEnd"/>
          </w:p>
        </w:tc>
      </w:tr>
      <w:tr w:rsidR="00350611" w:rsidRPr="00121BB0" w:rsidTr="00350611">
        <w:trPr>
          <w:trHeight w:val="483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4C0026">
              <w:rPr>
                <w:rFonts w:ascii="Times New Roman" w:hAnsi="Times New Roman" w:cs="Times New Roman"/>
                <w:b/>
              </w:rPr>
              <w:t>Сума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0026">
              <w:rPr>
                <w:rFonts w:ascii="Times New Roman" w:hAnsi="Times New Roman" w:cs="Times New Roman"/>
                <w:b/>
              </w:rPr>
              <w:t>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0026">
              <w:rPr>
                <w:rFonts w:ascii="Times New Roman" w:hAnsi="Times New Roman" w:cs="Times New Roman"/>
                <w:b/>
              </w:rPr>
              <w:t>тип</w:t>
            </w:r>
            <w:r>
              <w:rPr>
                <w:rFonts w:ascii="Times New Roman" w:hAnsi="Times New Roman" w:cs="Times New Roman"/>
                <w:b/>
              </w:rPr>
              <w:t xml:space="preserve"> інвестицій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350611">
            <w:pPr>
              <w:pStyle w:val="TableParagraph"/>
              <w:spacing w:line="231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101 976,914 </w:t>
            </w: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тис.грн</w:t>
            </w:r>
            <w:proofErr w:type="spellEnd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</w:p>
        </w:tc>
      </w:tr>
      <w:tr w:rsidR="00350611" w:rsidRPr="00121BB0" w:rsidTr="00350611">
        <w:trPr>
          <w:trHeight w:val="1117"/>
        </w:trPr>
        <w:tc>
          <w:tcPr>
            <w:tcW w:w="2477" w:type="dxa"/>
            <w:shd w:val="clear" w:color="auto" w:fill="auto"/>
            <w:vAlign w:val="center"/>
          </w:tcPr>
          <w:p w:rsidR="00350611" w:rsidRDefault="00350611" w:rsidP="00651C1E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 місцевого бюджету </w:t>
            </w:r>
          </w:p>
          <w:p w:rsidR="00350611" w:rsidRPr="00520CE3" w:rsidRDefault="00350611" w:rsidP="00651C1E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520CE3">
              <w:rPr>
                <w:rFonts w:ascii="Times New Roman" w:hAnsi="Times New Roman" w:cs="Times New Roman"/>
              </w:rPr>
              <w:t>(у відсотках %)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31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20%</w:t>
            </w:r>
          </w:p>
        </w:tc>
      </w:tr>
      <w:tr w:rsidR="00350611" w:rsidRPr="00121BB0" w:rsidTr="00651C1E">
        <w:trPr>
          <w:trHeight w:val="1360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4C0026">
              <w:rPr>
                <w:rFonts w:ascii="Times New Roman" w:hAnsi="Times New Roman" w:cs="Times New Roman"/>
                <w:b/>
              </w:rPr>
              <w:t>Деталі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EC1619" w:rsidRDefault="00350611" w:rsidP="00651C1E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619">
              <w:rPr>
                <w:rFonts w:ascii="Times New Roman" w:hAnsi="Times New Roman" w:cs="Times New Roman"/>
                <w:sz w:val="20"/>
                <w:szCs w:val="20"/>
              </w:rPr>
              <w:t>Метою проекту являється розробка та впровадження на існуючий ділянці очисних споруд в місті Чоп – надійної, сучасної, компактної, високоефективної технології механічної та повної біологічної очистки стічних вод із знезараженням, та механічним зневодненням мулу спрямованої на досягнення необхідної нормативної якості очистки стічних вод які надходять на каналізаційні очисні споруди (</w:t>
            </w:r>
            <w:proofErr w:type="spellStart"/>
            <w:r w:rsidRPr="00EC1619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proofErr w:type="spellEnd"/>
            <w:r w:rsidRPr="00EC1619">
              <w:rPr>
                <w:rFonts w:ascii="Times New Roman" w:hAnsi="Times New Roman" w:cs="Times New Roman"/>
                <w:sz w:val="20"/>
                <w:szCs w:val="20"/>
              </w:rPr>
              <w:t xml:space="preserve">), шляхом будівництва нових будівель та споруд та впровадження </w:t>
            </w:r>
            <w:proofErr w:type="spellStart"/>
            <w:r w:rsidRPr="00EC1619">
              <w:rPr>
                <w:rFonts w:ascii="Times New Roman" w:hAnsi="Times New Roman" w:cs="Times New Roman"/>
                <w:sz w:val="20"/>
                <w:szCs w:val="20"/>
              </w:rPr>
              <w:t>реагентноїдефосфотації</w:t>
            </w:r>
            <w:proofErr w:type="spellEnd"/>
            <w:r w:rsidRPr="00EC1619">
              <w:rPr>
                <w:rFonts w:ascii="Times New Roman" w:hAnsi="Times New Roman" w:cs="Times New Roman"/>
                <w:sz w:val="20"/>
                <w:szCs w:val="20"/>
              </w:rPr>
              <w:t xml:space="preserve"> стоку.</w:t>
            </w:r>
          </w:p>
          <w:p w:rsidR="00350611" w:rsidRPr="00121BB0" w:rsidRDefault="00350611" w:rsidP="00651C1E">
            <w:pPr>
              <w:pStyle w:val="TableParagraph"/>
              <w:spacing w:line="233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Реконструкція виконується у зв’язку із необхідністю забезпечення безаварійної роботи очисних споруд та удосконалення існуючої технології очистки стічних вод. Завдяки реконструкції даного об’єкту поліпшиться екологічний стан регіону та країни басейну річки Тиса</w:t>
            </w:r>
          </w:p>
        </w:tc>
      </w:tr>
      <w:tr w:rsidR="00350611" w:rsidRPr="00121BB0" w:rsidTr="00350611">
        <w:trPr>
          <w:trHeight w:val="413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Період окупності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орієнтовний термін експлуатації – 25 років.</w:t>
            </w:r>
          </w:p>
        </w:tc>
      </w:tr>
      <w:tr w:rsidR="00350611" w:rsidRPr="00121BB0" w:rsidTr="00651C1E">
        <w:trPr>
          <w:trHeight w:val="489"/>
        </w:trPr>
        <w:tc>
          <w:tcPr>
            <w:tcW w:w="10174" w:type="dxa"/>
            <w:gridSpan w:val="3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1134" w:right="1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Розміщення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інфраструктура</w:t>
            </w:r>
          </w:p>
        </w:tc>
      </w:tr>
      <w:tr w:rsidR="00350611" w:rsidRPr="00121BB0" w:rsidTr="00350611">
        <w:trPr>
          <w:trHeight w:val="482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spacing w:before="57"/>
              <w:ind w:left="110"/>
              <w:rPr>
                <w:rFonts w:ascii="Times New Roman" w:hAnsi="Times New Roman" w:cs="Times New Roman"/>
                <w:b/>
              </w:rPr>
            </w:pPr>
            <w:r w:rsidRPr="004C0026">
              <w:rPr>
                <w:rFonts w:ascii="Times New Roman" w:hAnsi="Times New Roman" w:cs="Times New Roman"/>
                <w:b/>
              </w:rPr>
              <w:t>Розміщення</w:t>
            </w:r>
          </w:p>
        </w:tc>
        <w:tc>
          <w:tcPr>
            <w:tcW w:w="76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before="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Закарпатська область, Ужгородський район,  м. Чоп </w:t>
            </w: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вул.Темето</w:t>
            </w:r>
            <w:proofErr w:type="spellEnd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, 18.</w:t>
            </w:r>
          </w:p>
        </w:tc>
      </w:tr>
      <w:tr w:rsidR="00350611" w:rsidRPr="00121BB0" w:rsidTr="00350611">
        <w:trPr>
          <w:trHeight w:val="3536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4C0026">
              <w:rPr>
                <w:rFonts w:ascii="Times New Roman" w:hAnsi="Times New Roman" w:cs="Times New Roman"/>
                <w:b/>
              </w:rPr>
              <w:t>Земельна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0026">
              <w:rPr>
                <w:rFonts w:ascii="Times New Roman" w:hAnsi="Times New Roman" w:cs="Times New Roman"/>
                <w:b/>
              </w:rPr>
              <w:t>ділянка</w:t>
            </w:r>
          </w:p>
        </w:tc>
        <w:tc>
          <w:tcPr>
            <w:tcW w:w="7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before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Площа-</w:t>
            </w:r>
            <w:r w:rsidRPr="00121BB0"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</w:rPr>
              <w:t>не менш 0,7 га;</w:t>
            </w:r>
          </w:p>
          <w:p w:rsidR="00350611" w:rsidRPr="00121BB0" w:rsidRDefault="00350611" w:rsidP="00651C1E">
            <w:pPr>
              <w:pStyle w:val="TableParagraph"/>
              <w:spacing w:beforeLines="20" w:after="20" w:line="250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Правовий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статус – </w:t>
            </w: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комунальна власність</w:t>
            </w:r>
          </w:p>
          <w:p w:rsidR="00350611" w:rsidRPr="00121BB0" w:rsidRDefault="00350611" w:rsidP="00651C1E">
            <w:pPr>
              <w:pStyle w:val="TableParagraph"/>
              <w:spacing w:beforeLines="20" w:after="20"/>
              <w:ind w:left="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Цільове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призначення –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водовідведення </w:t>
            </w:r>
          </w:p>
          <w:p w:rsidR="00350611" w:rsidRPr="00121BB0" w:rsidRDefault="00350611" w:rsidP="00651C1E">
            <w:pPr>
              <w:pStyle w:val="TableParagraph"/>
              <w:spacing w:beforeLines="20" w:after="20"/>
              <w:ind w:left="108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Поточне </w:t>
            </w:r>
            <w:proofErr w:type="spellStart"/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використання</w:t>
            </w:r>
            <w:r w:rsidRPr="00121BB0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>використовується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, потребує реконструкції </w:t>
            </w:r>
            <w:r w:rsidRPr="00121B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аварійному стані</w:t>
            </w:r>
          </w:p>
          <w:p w:rsidR="00350611" w:rsidRPr="00121BB0" w:rsidRDefault="00350611" w:rsidP="00651C1E">
            <w:pPr>
              <w:pStyle w:val="TableParagraph"/>
              <w:tabs>
                <w:tab w:val="left" w:pos="7588"/>
              </w:tabs>
              <w:spacing w:beforeLines="20" w:after="20" w:line="297" w:lineRule="auto"/>
              <w:ind w:left="108" w:right="-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Примітки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проекту </w:t>
            </w: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– Місто Чоп – найзахідніша частина України, розташоване на кордоні з Європейським Союзом  і являється  одним  з найбільших воріт  в Європу.  Місто є центром територіальної громади у котрій проживає 16 тис жителів. З першого дня військової агресії російської федерації  через це місто евакуювались сотні тисяч людей зі всієї України,  десятки тисяч ВПО знайшли тимчасовий </w:t>
            </w:r>
            <w:proofErr w:type="spellStart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прихисток</w:t>
            </w:r>
            <w:proofErr w:type="spellEnd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  з яких   2450 ВПО проживають постійно.  Місто пропускає через себе десятки тисяч  вимушених евакуюватись  людей зі всієї України щоденно.</w:t>
            </w:r>
          </w:p>
        </w:tc>
      </w:tr>
      <w:tr w:rsidR="00350611" w:rsidRPr="00121BB0" w:rsidTr="00350611">
        <w:trPr>
          <w:trHeight w:val="3245"/>
        </w:trPr>
        <w:tc>
          <w:tcPr>
            <w:tcW w:w="2477" w:type="dxa"/>
            <w:shd w:val="clear" w:color="auto" w:fill="auto"/>
            <w:vAlign w:val="center"/>
          </w:tcPr>
          <w:p w:rsidR="00350611" w:rsidRPr="004C0026" w:rsidRDefault="00350611" w:rsidP="00651C1E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4C0026">
              <w:rPr>
                <w:rFonts w:ascii="Times New Roman" w:hAnsi="Times New Roman" w:cs="Times New Roman"/>
                <w:b/>
              </w:rPr>
              <w:t>Інфраструктура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Доступ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транспортної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інфраструктури</w:t>
            </w:r>
          </w:p>
          <w:p w:rsidR="00350611" w:rsidRPr="00121BB0" w:rsidRDefault="00350611" w:rsidP="00651C1E">
            <w:pPr>
              <w:pStyle w:val="TableParagraph"/>
              <w:spacing w:before="62" w:line="25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Відстань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найближчих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транспортних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шляхів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інфраструктури-</w:t>
            </w:r>
            <w:proofErr w:type="spellEnd"/>
          </w:p>
          <w:p w:rsidR="00350611" w:rsidRPr="00121BB0" w:rsidRDefault="00350611" w:rsidP="0035061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uppressAutoHyphens w:val="0"/>
              <w:autoSpaceDE w:val="0"/>
              <w:autoSpaceDN w:val="0"/>
              <w:spacing w:line="250" w:lineRule="exact"/>
              <w:ind w:hanging="18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аеропорт–</w:t>
            </w:r>
            <w:proofErr w:type="spellEnd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25км.;</w:t>
            </w:r>
          </w:p>
          <w:p w:rsidR="00350611" w:rsidRPr="00121BB0" w:rsidRDefault="00350611" w:rsidP="0035061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uppressAutoHyphens w:val="0"/>
              <w:autoSpaceDE w:val="0"/>
              <w:autoSpaceDN w:val="0"/>
              <w:spacing w:before="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залізниця–до</w:t>
            </w:r>
            <w:r w:rsidRPr="00121BB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2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км.;</w:t>
            </w:r>
          </w:p>
          <w:p w:rsidR="00350611" w:rsidRPr="00121BB0" w:rsidRDefault="00350611" w:rsidP="0035061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uppressAutoHyphens w:val="0"/>
              <w:autoSpaceDE w:val="0"/>
              <w:autoSpaceDN w:val="0"/>
              <w:spacing w:before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автодороги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державного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значення–до</w:t>
            </w:r>
            <w:r w:rsidRPr="00121BB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3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км.</w:t>
            </w:r>
          </w:p>
          <w:p w:rsidR="00350611" w:rsidRPr="00121BB0" w:rsidRDefault="00350611" w:rsidP="00651C1E">
            <w:pPr>
              <w:pStyle w:val="TableParagraph"/>
              <w:spacing w:before="60"/>
              <w:ind w:lef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Наявність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відстань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комунальної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інфраструктури</w:t>
            </w:r>
          </w:p>
          <w:p w:rsidR="00350611" w:rsidRPr="00121BB0" w:rsidRDefault="00350611" w:rsidP="00651C1E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Енергозабезпечення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території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підприємства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потужностями:</w:t>
            </w:r>
          </w:p>
          <w:p w:rsidR="00350611" w:rsidRPr="00121BB0" w:rsidRDefault="00350611" w:rsidP="00350611">
            <w:pPr>
              <w:pStyle w:val="TableParagraph"/>
              <w:numPr>
                <w:ilvl w:val="1"/>
                <w:numId w:val="3"/>
              </w:numPr>
              <w:tabs>
                <w:tab w:val="left" w:pos="880"/>
                <w:tab w:val="left" w:pos="882"/>
              </w:tabs>
              <w:suppressAutoHyphens w:val="0"/>
              <w:autoSpaceDE w:val="0"/>
              <w:autoSpaceDN w:val="0"/>
              <w:ind w:right="36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Водопостачання – вода 10 м3/добу при будівництві; 4 м3/добу при експл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атації;</w:t>
            </w:r>
          </w:p>
          <w:p w:rsidR="00350611" w:rsidRPr="00121BB0" w:rsidRDefault="00350611" w:rsidP="00350611">
            <w:pPr>
              <w:pStyle w:val="TableParagraph"/>
              <w:numPr>
                <w:ilvl w:val="1"/>
                <w:numId w:val="3"/>
              </w:numPr>
              <w:tabs>
                <w:tab w:val="left" w:pos="880"/>
                <w:tab w:val="left" w:pos="881"/>
              </w:tabs>
              <w:suppressAutoHyphens w:val="0"/>
              <w:autoSpaceDE w:val="0"/>
              <w:autoSpaceDN w:val="0"/>
              <w:ind w:right="423" w:hanging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Газопостачання – </w:t>
            </w:r>
          </w:p>
          <w:p w:rsidR="00350611" w:rsidRPr="00121BB0" w:rsidRDefault="00350611" w:rsidP="00350611">
            <w:pPr>
              <w:pStyle w:val="TableParagraph"/>
              <w:numPr>
                <w:ilvl w:val="1"/>
                <w:numId w:val="3"/>
              </w:numPr>
              <w:tabs>
                <w:tab w:val="left" w:pos="880"/>
                <w:tab w:val="left" w:pos="881"/>
              </w:tabs>
              <w:suppressAutoHyphens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Електропостачання–</w:t>
            </w:r>
            <w:r w:rsidRPr="00121B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–</w:t>
            </w:r>
            <w:proofErr w:type="spellEnd"/>
            <w:r w:rsidRPr="00121B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електроенергія 20000 кВт при будівництві;</w:t>
            </w:r>
          </w:p>
          <w:p w:rsidR="00350611" w:rsidRPr="00121BB0" w:rsidRDefault="00350611" w:rsidP="00350611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uppressAutoHyphens w:val="0"/>
              <w:autoSpaceDE w:val="0"/>
              <w:autoSpaceDN w:val="0"/>
              <w:spacing w:before="1"/>
              <w:ind w:hanging="3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Каналізації–</w:t>
            </w:r>
            <w:proofErr w:type="spellEnd"/>
          </w:p>
        </w:tc>
      </w:tr>
      <w:tr w:rsidR="00350611" w:rsidRPr="00121BB0" w:rsidTr="00651C1E">
        <w:trPr>
          <w:trHeight w:val="489"/>
        </w:trPr>
        <w:tc>
          <w:tcPr>
            <w:tcW w:w="10174" w:type="dxa"/>
            <w:gridSpan w:val="3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1134" w:right="1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Ресурси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послуги</w:t>
            </w:r>
          </w:p>
        </w:tc>
      </w:tr>
      <w:tr w:rsidR="00350611" w:rsidRPr="00350611" w:rsidTr="00350611">
        <w:trPr>
          <w:trHeight w:val="620"/>
        </w:trPr>
        <w:tc>
          <w:tcPr>
            <w:tcW w:w="2477" w:type="dxa"/>
            <w:shd w:val="clear" w:color="auto" w:fill="auto"/>
            <w:vAlign w:val="center"/>
          </w:tcPr>
          <w:p w:rsidR="00350611" w:rsidRDefault="00350611" w:rsidP="00651C1E">
            <w:pPr>
              <w:pStyle w:val="TableParagraph"/>
              <w:ind w:left="110" w:right="133"/>
              <w:rPr>
                <w:rFonts w:ascii="Times New Roman" w:hAnsi="Times New Roman" w:cs="Times New Roman"/>
                <w:b/>
                <w:spacing w:val="-53"/>
              </w:rPr>
            </w:pPr>
            <w:r w:rsidRPr="004C0026">
              <w:rPr>
                <w:rFonts w:ascii="Times New Roman" w:hAnsi="Times New Roman" w:cs="Times New Roman"/>
                <w:b/>
              </w:rPr>
              <w:t>Доступ до ресурсів</w:t>
            </w:r>
          </w:p>
          <w:p w:rsidR="00350611" w:rsidRPr="004C0026" w:rsidRDefault="00350611" w:rsidP="00651C1E">
            <w:pPr>
              <w:pStyle w:val="TableParagraph"/>
              <w:ind w:left="110" w:right="1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4C0026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0026">
              <w:rPr>
                <w:rFonts w:ascii="Times New Roman" w:hAnsi="Times New Roman" w:cs="Times New Roman"/>
                <w:b/>
              </w:rPr>
              <w:t>послуг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350611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ресурсів: Чопською міською радою передбачено </w:t>
            </w:r>
            <w:proofErr w:type="spellStart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співфінансування</w:t>
            </w:r>
            <w:proofErr w:type="spellEnd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 в розмірі до 20% від загальної вартості </w:t>
            </w:r>
            <w:proofErr w:type="spellStart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0611" w:rsidRPr="00121BB0" w:rsidTr="00350611">
        <w:trPr>
          <w:trHeight w:val="572"/>
        </w:trPr>
        <w:tc>
          <w:tcPr>
            <w:tcW w:w="2477" w:type="dxa"/>
            <w:shd w:val="clear" w:color="auto" w:fill="auto"/>
            <w:vAlign w:val="center"/>
          </w:tcPr>
          <w:p w:rsidR="00350611" w:rsidRPr="00206558" w:rsidRDefault="00350611" w:rsidP="00651C1E">
            <w:pPr>
              <w:pStyle w:val="TableParagraph"/>
              <w:ind w:left="110" w:right="324"/>
              <w:rPr>
                <w:rFonts w:ascii="Times New Roman" w:hAnsi="Times New Roman" w:cs="Times New Roman"/>
                <w:b/>
              </w:rPr>
            </w:pPr>
            <w:r w:rsidRPr="00206558">
              <w:rPr>
                <w:rFonts w:ascii="Times New Roman" w:hAnsi="Times New Roman" w:cs="Times New Roman"/>
                <w:b/>
              </w:rPr>
              <w:t>Характеристика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6558">
              <w:rPr>
                <w:rFonts w:ascii="Times New Roman" w:hAnsi="Times New Roman" w:cs="Times New Roman"/>
                <w:b/>
              </w:rPr>
              <w:t>існуючого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6558">
              <w:rPr>
                <w:rFonts w:ascii="Times New Roman" w:hAnsi="Times New Roman" w:cs="Times New Roman"/>
                <w:b/>
              </w:rPr>
              <w:t>майна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Наявність будівель/структур та їхня характеристика</w:t>
            </w:r>
            <w:r w:rsidRPr="00121B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: наявна споруда.</w:t>
            </w:r>
          </w:p>
          <w:p w:rsidR="00350611" w:rsidRPr="00121BB0" w:rsidRDefault="00350611" w:rsidP="00350611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Наявне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обладнання: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астаріле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 в аварійному стані</w:t>
            </w:r>
          </w:p>
        </w:tc>
      </w:tr>
      <w:tr w:rsidR="00350611" w:rsidRPr="00121BB0" w:rsidTr="00651C1E">
        <w:trPr>
          <w:trHeight w:val="670"/>
        </w:trPr>
        <w:tc>
          <w:tcPr>
            <w:tcW w:w="2477" w:type="dxa"/>
            <w:shd w:val="clear" w:color="auto" w:fill="auto"/>
            <w:vAlign w:val="center"/>
          </w:tcPr>
          <w:p w:rsidR="00350611" w:rsidRPr="00206558" w:rsidRDefault="00350611" w:rsidP="00350611">
            <w:pPr>
              <w:pStyle w:val="TableParagraph"/>
              <w:spacing w:line="250" w:lineRule="exact"/>
              <w:ind w:left="110" w:right="209"/>
              <w:rPr>
                <w:rFonts w:ascii="Times New Roman" w:hAnsi="Times New Roman" w:cs="Times New Roman"/>
                <w:b/>
              </w:rPr>
            </w:pPr>
            <w:r w:rsidRPr="00206558">
              <w:rPr>
                <w:rFonts w:ascii="Times New Roman" w:hAnsi="Times New Roman" w:cs="Times New Roman"/>
                <w:b/>
              </w:rPr>
              <w:t>Наявність 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6558">
              <w:rPr>
                <w:rFonts w:ascii="Times New Roman" w:hAnsi="Times New Roman" w:cs="Times New Roman"/>
                <w:b/>
              </w:rPr>
              <w:t>якість робочої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6558">
              <w:rPr>
                <w:rFonts w:ascii="Times New Roman" w:hAnsi="Times New Roman" w:cs="Times New Roman"/>
                <w:b/>
              </w:rPr>
              <w:t>сили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а період будівництва буде створено орієнтовно 25 робочих місць.</w:t>
            </w:r>
          </w:p>
          <w:p w:rsidR="00350611" w:rsidRPr="00121BB0" w:rsidRDefault="00350611" w:rsidP="00651C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При експлуатації буде створено 4 робочих місць.</w:t>
            </w:r>
          </w:p>
        </w:tc>
      </w:tr>
      <w:tr w:rsidR="00350611" w:rsidRPr="00121BB0" w:rsidTr="00350611">
        <w:trPr>
          <w:trHeight w:val="717"/>
        </w:trPr>
        <w:tc>
          <w:tcPr>
            <w:tcW w:w="2477" w:type="dxa"/>
            <w:shd w:val="clear" w:color="auto" w:fill="auto"/>
            <w:vAlign w:val="center"/>
          </w:tcPr>
          <w:p w:rsidR="00350611" w:rsidRPr="00206558" w:rsidRDefault="00350611" w:rsidP="00350611">
            <w:pPr>
              <w:pStyle w:val="TableParagraph"/>
              <w:spacing w:line="250" w:lineRule="exact"/>
              <w:ind w:left="110" w:right="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Наявність та актуальність ПКД</w:t>
            </w:r>
          </w:p>
        </w:tc>
        <w:tc>
          <w:tcPr>
            <w:tcW w:w="7697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2021 року вищезазначений </w:t>
            </w:r>
            <w:proofErr w:type="spellStart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121BB0">
              <w:rPr>
                <w:rFonts w:ascii="Times New Roman" w:hAnsi="Times New Roman" w:cs="Times New Roman"/>
                <w:sz w:val="20"/>
                <w:szCs w:val="20"/>
              </w:rPr>
              <w:t xml:space="preserve"> пройшов експертизу та отримав позитивний висновок від 02 серпня №07/0253/21, загальна кошторисна вартість будівництва в поточних цінах станом на 28.07.2021 року</w:t>
            </w:r>
          </w:p>
        </w:tc>
      </w:tr>
      <w:tr w:rsidR="00350611" w:rsidRPr="00121BB0" w:rsidTr="00651C1E">
        <w:trPr>
          <w:trHeight w:val="418"/>
        </w:trPr>
        <w:tc>
          <w:tcPr>
            <w:tcW w:w="10174" w:type="dxa"/>
            <w:gridSpan w:val="3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1134" w:right="1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Регуляторніположення</w:t>
            </w:r>
            <w:proofErr w:type="spellEnd"/>
          </w:p>
        </w:tc>
      </w:tr>
      <w:tr w:rsidR="00350611" w:rsidRPr="00121BB0" w:rsidTr="00651C1E">
        <w:trPr>
          <w:trHeight w:val="482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110" w:right="1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Необхідні дозволи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ліцензії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50611" w:rsidRPr="00121BB0" w:rsidTr="00651C1E">
        <w:trPr>
          <w:trHeight w:val="396"/>
        </w:trPr>
        <w:tc>
          <w:tcPr>
            <w:tcW w:w="10174" w:type="dxa"/>
            <w:gridSpan w:val="3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1134" w:right="1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Інше</w:t>
            </w:r>
          </w:p>
        </w:tc>
      </w:tr>
      <w:tr w:rsidR="00350611" w:rsidRPr="00121BB0" w:rsidTr="00350611">
        <w:trPr>
          <w:trHeight w:val="648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Інше</w:t>
            </w:r>
          </w:p>
          <w:p w:rsidR="00350611" w:rsidRPr="00121BB0" w:rsidRDefault="00350611" w:rsidP="00651C1E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sz w:val="20"/>
                <w:szCs w:val="20"/>
              </w:rPr>
              <w:t>(співпраця з міжнародними організаціями, тощо)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50" w:lineRule="exact"/>
              <w:ind w:right="-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50611" w:rsidRPr="00121BB0" w:rsidTr="00350611">
        <w:trPr>
          <w:trHeight w:val="516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110" w:right="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ініціатора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7480" w:type="dxa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50" w:lineRule="exact"/>
              <w:ind w:left="0" w:right="17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Чопська міська рада в особі Чопського міського голови </w:t>
            </w: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Самардака</w:t>
            </w:r>
            <w:proofErr w:type="spellEnd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Валерія Володимировича</w:t>
            </w:r>
          </w:p>
        </w:tc>
      </w:tr>
      <w:tr w:rsidR="00350611" w:rsidRPr="00121BB0" w:rsidTr="00350611">
        <w:trPr>
          <w:trHeight w:val="4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before="1" w:line="230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b/>
                <w:sz w:val="20"/>
                <w:szCs w:val="20"/>
              </w:rPr>
              <w:t>Дані контактної особи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before="1" w:line="230" w:lineRule="exact"/>
              <w:ind w:left="16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Ім’я:</w:t>
            </w:r>
            <w:proofErr w:type="spellStart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Самардак</w:t>
            </w:r>
            <w:proofErr w:type="spellEnd"/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Валерій Володимирович</w:t>
            </w:r>
          </w:p>
        </w:tc>
      </w:tr>
      <w:tr w:rsidR="00350611" w:rsidRPr="00121BB0" w:rsidTr="00350611">
        <w:trPr>
          <w:trHeight w:val="287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29" w:lineRule="exact"/>
              <w:ind w:left="16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Посада: Чопський міський голова</w:t>
            </w:r>
          </w:p>
        </w:tc>
      </w:tr>
      <w:tr w:rsidR="00350611" w:rsidRPr="00121BB0" w:rsidTr="00350611">
        <w:trPr>
          <w:trHeight w:val="26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29" w:lineRule="exact"/>
              <w:ind w:left="16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Тел.: 0312-71-12-42</w:t>
            </w:r>
          </w:p>
        </w:tc>
      </w:tr>
      <w:tr w:rsidR="00350611" w:rsidRPr="00350611" w:rsidTr="00350611">
        <w:trPr>
          <w:trHeight w:val="275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  <w:vAlign w:val="center"/>
          </w:tcPr>
          <w:p w:rsidR="00350611" w:rsidRPr="00121BB0" w:rsidRDefault="00350611" w:rsidP="00651C1E">
            <w:pPr>
              <w:pStyle w:val="TableParagraph"/>
              <w:spacing w:line="229" w:lineRule="exact"/>
              <w:ind w:left="16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B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Email</w:t>
            </w:r>
            <w:r w:rsidRPr="00121BB0">
              <w:rPr>
                <w:rFonts w:ascii="Times New Roman" w:hAnsi="Times New Roman" w:cs="Times New Roman"/>
                <w:i/>
                <w:sz w:val="20"/>
                <w:szCs w:val="20"/>
              </w:rPr>
              <w:t>: chop@carpathia.gov.ua</w:t>
            </w:r>
          </w:p>
        </w:tc>
      </w:tr>
    </w:tbl>
    <w:p w:rsidR="00A2309B" w:rsidRPr="00117DC9" w:rsidRDefault="00A2309B" w:rsidP="00350611">
      <w:pPr>
        <w:rPr>
          <w:lang w:val="uk-UA"/>
        </w:rPr>
      </w:pPr>
    </w:p>
    <w:sectPr w:rsidR="00A2309B" w:rsidRPr="00117DC9" w:rsidSect="00117DC9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7158"/>
    <w:multiLevelType w:val="multilevel"/>
    <w:tmpl w:val="65B8C65E"/>
    <w:lvl w:ilvl="0">
      <w:numFmt w:val="bullet"/>
      <w:lvlText w:val="-"/>
      <w:lvlJc w:val="left"/>
      <w:pPr>
        <w:tabs>
          <w:tab w:val="num" w:pos="0"/>
        </w:tabs>
        <w:ind w:left="295" w:hanging="188"/>
      </w:pPr>
      <w:rPr>
        <w:rFonts w:ascii="Georgia" w:hAnsi="Georgia" w:cs="Georgia" w:hint="default"/>
      </w:rPr>
    </w:lvl>
    <w:lvl w:ilvl="1">
      <w:numFmt w:val="bullet"/>
      <w:lvlText w:val="-"/>
      <w:lvlJc w:val="left"/>
      <w:pPr>
        <w:tabs>
          <w:tab w:val="num" w:pos="0"/>
        </w:tabs>
        <w:ind w:left="827" w:hanging="413"/>
      </w:pPr>
      <w:rPr>
        <w:rFonts w:ascii="Georgia" w:hAnsi="Georgia" w:cs="Georgia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83" w:hanging="41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41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09" w:hanging="41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72" w:hanging="41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35" w:hanging="41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398" w:hanging="41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61" w:hanging="413"/>
      </w:pPr>
      <w:rPr>
        <w:rFonts w:ascii="Symbol" w:hAnsi="Symbol" w:cs="Symbol" w:hint="default"/>
      </w:rPr>
    </w:lvl>
  </w:abstractNum>
  <w:abstractNum w:abstractNumId="1">
    <w:nsid w:val="5B54623E"/>
    <w:multiLevelType w:val="multilevel"/>
    <w:tmpl w:val="83586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980FEE"/>
    <w:multiLevelType w:val="hybridMultilevel"/>
    <w:tmpl w:val="6DF4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E1244"/>
    <w:multiLevelType w:val="hybridMultilevel"/>
    <w:tmpl w:val="BBC03308"/>
    <w:lvl w:ilvl="0" w:tplc="47D62932">
      <w:numFmt w:val="bullet"/>
      <w:lvlText w:val="-"/>
      <w:lvlJc w:val="left"/>
      <w:pPr>
        <w:ind w:left="295" w:hanging="188"/>
      </w:pPr>
      <w:rPr>
        <w:rFonts w:ascii="Georgia" w:eastAsia="Georgia" w:hAnsi="Georgia" w:cs="Georgia" w:hint="default"/>
        <w:i/>
        <w:iCs/>
        <w:w w:val="100"/>
        <w:sz w:val="22"/>
        <w:szCs w:val="22"/>
        <w:lang w:val="uk-UA" w:eastAsia="en-US" w:bidi="ar-SA"/>
      </w:rPr>
    </w:lvl>
    <w:lvl w:ilvl="1" w:tplc="D08C1AD8">
      <w:numFmt w:val="bullet"/>
      <w:lvlText w:val="-"/>
      <w:lvlJc w:val="left"/>
      <w:pPr>
        <w:ind w:left="827" w:hanging="413"/>
      </w:pPr>
      <w:rPr>
        <w:rFonts w:ascii="Georgia" w:eastAsia="Georgia" w:hAnsi="Georgia" w:cs="Georgia" w:hint="default"/>
        <w:w w:val="100"/>
        <w:sz w:val="22"/>
        <w:szCs w:val="22"/>
        <w:lang w:val="uk-UA" w:eastAsia="en-US" w:bidi="ar-SA"/>
      </w:rPr>
    </w:lvl>
    <w:lvl w:ilvl="2" w:tplc="28F0F974">
      <w:numFmt w:val="bullet"/>
      <w:lvlText w:val="•"/>
      <w:lvlJc w:val="left"/>
      <w:pPr>
        <w:ind w:left="1583" w:hanging="413"/>
      </w:pPr>
      <w:rPr>
        <w:rFonts w:hint="default"/>
        <w:lang w:val="uk-UA" w:eastAsia="en-US" w:bidi="ar-SA"/>
      </w:rPr>
    </w:lvl>
    <w:lvl w:ilvl="3" w:tplc="677681C4">
      <w:numFmt w:val="bullet"/>
      <w:lvlText w:val="•"/>
      <w:lvlJc w:val="left"/>
      <w:pPr>
        <w:ind w:left="2346" w:hanging="413"/>
      </w:pPr>
      <w:rPr>
        <w:rFonts w:hint="default"/>
        <w:lang w:val="uk-UA" w:eastAsia="en-US" w:bidi="ar-SA"/>
      </w:rPr>
    </w:lvl>
    <w:lvl w:ilvl="4" w:tplc="CE4826C8">
      <w:numFmt w:val="bullet"/>
      <w:lvlText w:val="•"/>
      <w:lvlJc w:val="left"/>
      <w:pPr>
        <w:ind w:left="3109" w:hanging="413"/>
      </w:pPr>
      <w:rPr>
        <w:rFonts w:hint="default"/>
        <w:lang w:val="uk-UA" w:eastAsia="en-US" w:bidi="ar-SA"/>
      </w:rPr>
    </w:lvl>
    <w:lvl w:ilvl="5" w:tplc="12828B18">
      <w:numFmt w:val="bullet"/>
      <w:lvlText w:val="•"/>
      <w:lvlJc w:val="left"/>
      <w:pPr>
        <w:ind w:left="3872" w:hanging="413"/>
      </w:pPr>
      <w:rPr>
        <w:rFonts w:hint="default"/>
        <w:lang w:val="uk-UA" w:eastAsia="en-US" w:bidi="ar-SA"/>
      </w:rPr>
    </w:lvl>
    <w:lvl w:ilvl="6" w:tplc="9C420DE6">
      <w:numFmt w:val="bullet"/>
      <w:lvlText w:val="•"/>
      <w:lvlJc w:val="left"/>
      <w:pPr>
        <w:ind w:left="4635" w:hanging="413"/>
      </w:pPr>
      <w:rPr>
        <w:rFonts w:hint="default"/>
        <w:lang w:val="uk-UA" w:eastAsia="en-US" w:bidi="ar-SA"/>
      </w:rPr>
    </w:lvl>
    <w:lvl w:ilvl="7" w:tplc="7092F278">
      <w:numFmt w:val="bullet"/>
      <w:lvlText w:val="•"/>
      <w:lvlJc w:val="left"/>
      <w:pPr>
        <w:ind w:left="5398" w:hanging="413"/>
      </w:pPr>
      <w:rPr>
        <w:rFonts w:hint="default"/>
        <w:lang w:val="uk-UA" w:eastAsia="en-US" w:bidi="ar-SA"/>
      </w:rPr>
    </w:lvl>
    <w:lvl w:ilvl="8" w:tplc="79AC482E">
      <w:numFmt w:val="bullet"/>
      <w:lvlText w:val="•"/>
      <w:lvlJc w:val="left"/>
      <w:pPr>
        <w:ind w:left="6161" w:hanging="41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A2309B"/>
    <w:rsid w:val="00111FCB"/>
    <w:rsid w:val="00117DC9"/>
    <w:rsid w:val="00350611"/>
    <w:rsid w:val="008F1FA1"/>
    <w:rsid w:val="00A2309B"/>
    <w:rsid w:val="00AD1833"/>
    <w:rsid w:val="00B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4B4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B4432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A230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2309B"/>
    <w:pPr>
      <w:spacing w:after="140" w:line="276" w:lineRule="auto"/>
    </w:pPr>
  </w:style>
  <w:style w:type="paragraph" w:styleId="a6">
    <w:name w:val="List"/>
    <w:basedOn w:val="a5"/>
    <w:rsid w:val="00A2309B"/>
    <w:rPr>
      <w:rFonts w:cs="Arial"/>
    </w:rPr>
  </w:style>
  <w:style w:type="paragraph" w:customStyle="1" w:styleId="Caption">
    <w:name w:val="Caption"/>
    <w:basedOn w:val="a"/>
    <w:qFormat/>
    <w:rsid w:val="00A2309B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A2309B"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  <w:rsid w:val="002A5A33"/>
    <w:pPr>
      <w:widowControl w:val="0"/>
      <w:ind w:left="107"/>
    </w:pPr>
    <w:rPr>
      <w:rFonts w:ascii="Georgia" w:eastAsia="Georgia" w:hAnsi="Georgia" w:cs="Georgia"/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2A5A3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RDA_Admin</cp:lastModifiedBy>
  <cp:revision>22</cp:revision>
  <cp:lastPrinted>2024-01-23T07:00:00Z</cp:lastPrinted>
  <dcterms:created xsi:type="dcterms:W3CDTF">2023-10-16T12:55:00Z</dcterms:created>
  <dcterms:modified xsi:type="dcterms:W3CDTF">2024-01-25T07:52:00Z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